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438E" w14:textId="4044D443" w:rsidR="00CF6E5E" w:rsidRPr="00367BEC" w:rsidRDefault="002E33F8" w:rsidP="00DD77CA">
      <w:pPr>
        <w:spacing w:after="0" w:line="480" w:lineRule="auto"/>
        <w:rPr>
          <w:rFonts w:ascii="Times New Roman" w:hAnsi="Times New Roman" w:cs="Times New Roman"/>
          <w:b/>
          <w:sz w:val="24"/>
          <w:szCs w:val="24"/>
        </w:rPr>
      </w:pPr>
      <w:r w:rsidRPr="00367BEC">
        <w:rPr>
          <w:rFonts w:ascii="Times New Roman" w:hAnsi="Times New Roman"/>
          <w:b/>
          <w:sz w:val="24"/>
        </w:rPr>
        <w:t xml:space="preserve">Revisión sistemática </w:t>
      </w:r>
      <w:r w:rsidR="00D447F5">
        <w:rPr>
          <w:rFonts w:ascii="Times New Roman" w:hAnsi="Times New Roman"/>
          <w:b/>
          <w:sz w:val="24"/>
        </w:rPr>
        <w:t xml:space="preserve">de la </w:t>
      </w:r>
      <w:r w:rsidR="009E4001">
        <w:rPr>
          <w:rFonts w:ascii="Times New Roman" w:hAnsi="Times New Roman"/>
          <w:b/>
          <w:sz w:val="24"/>
        </w:rPr>
        <w:t>efectividad</w:t>
      </w:r>
      <w:r w:rsidR="009E4001" w:rsidRPr="00367BEC">
        <w:rPr>
          <w:rFonts w:ascii="Times New Roman" w:hAnsi="Times New Roman"/>
          <w:b/>
          <w:sz w:val="24"/>
        </w:rPr>
        <w:t xml:space="preserve"> </w:t>
      </w:r>
      <w:r w:rsidRPr="00367BEC">
        <w:rPr>
          <w:rFonts w:ascii="Times New Roman" w:hAnsi="Times New Roman"/>
          <w:b/>
          <w:sz w:val="24"/>
        </w:rPr>
        <w:t>y tolerabilidad del tapentadol como tratamiento del dolor en la práctica clínica habitual</w:t>
      </w:r>
    </w:p>
    <w:p w14:paraId="0386C8D0" w14:textId="3D0108C9" w:rsidR="00BA6907" w:rsidRPr="00367BEC" w:rsidRDefault="00BA6907" w:rsidP="00DD77CA">
      <w:pPr>
        <w:spacing w:after="0" w:line="480" w:lineRule="auto"/>
        <w:jc w:val="both"/>
        <w:rPr>
          <w:rFonts w:ascii="Times New Roman" w:hAnsi="Times New Roman" w:cs="Times New Roman"/>
        </w:rPr>
      </w:pPr>
      <w:r w:rsidRPr="00367BEC">
        <w:rPr>
          <w:rFonts w:ascii="Times New Roman" w:hAnsi="Times New Roman"/>
        </w:rPr>
        <w:t>T Martín Lorenzo</w:t>
      </w:r>
      <w:r w:rsidRPr="00367BEC">
        <w:rPr>
          <w:rFonts w:ascii="Times New Roman" w:hAnsi="Times New Roman"/>
          <w:vertAlign w:val="superscript"/>
        </w:rPr>
        <w:t>1</w:t>
      </w:r>
      <w:r w:rsidRPr="00367BEC">
        <w:rPr>
          <w:rFonts w:ascii="Times New Roman" w:hAnsi="Times New Roman"/>
        </w:rPr>
        <w:t>, A González-Domínguez</w:t>
      </w:r>
      <w:r w:rsidRPr="00367BEC">
        <w:rPr>
          <w:rFonts w:ascii="Times New Roman" w:hAnsi="Times New Roman"/>
          <w:vertAlign w:val="superscript"/>
        </w:rPr>
        <w:t>1</w:t>
      </w:r>
      <w:r w:rsidRPr="00367BEC">
        <w:rPr>
          <w:rFonts w:ascii="Times New Roman" w:hAnsi="Times New Roman"/>
        </w:rPr>
        <w:t>, S Almazán Carneros</w:t>
      </w:r>
      <w:r w:rsidRPr="00367BEC">
        <w:rPr>
          <w:rFonts w:ascii="Times New Roman" w:hAnsi="Times New Roman"/>
          <w:vertAlign w:val="superscript"/>
        </w:rPr>
        <w:t>2</w:t>
      </w:r>
    </w:p>
    <w:p w14:paraId="5DF3C613" w14:textId="30BDAC7C" w:rsidR="001A2742" w:rsidRPr="00367BEC" w:rsidRDefault="00C56A05" w:rsidP="00DD77CA">
      <w:pPr>
        <w:spacing w:after="0" w:line="480" w:lineRule="auto"/>
        <w:jc w:val="both"/>
        <w:rPr>
          <w:rFonts w:ascii="Times New Roman" w:hAnsi="Times New Roman" w:cs="Times New Roman"/>
        </w:rPr>
      </w:pPr>
      <w:r w:rsidRPr="00367BEC">
        <w:rPr>
          <w:rFonts w:ascii="Times New Roman" w:hAnsi="Times New Roman"/>
          <w:vertAlign w:val="superscript"/>
        </w:rPr>
        <w:t>1</w:t>
      </w:r>
      <w:r w:rsidRPr="00367BEC">
        <w:rPr>
          <w:rFonts w:ascii="Times New Roman" w:hAnsi="Times New Roman"/>
        </w:rPr>
        <w:t xml:space="preserve"> Weber. Madrid, España.</w:t>
      </w:r>
    </w:p>
    <w:p w14:paraId="426C4833" w14:textId="24719C9B" w:rsidR="000E06C6" w:rsidRPr="00367BEC" w:rsidRDefault="00C56A05" w:rsidP="00DD77CA">
      <w:pPr>
        <w:spacing w:after="0" w:line="480" w:lineRule="auto"/>
        <w:jc w:val="both"/>
        <w:rPr>
          <w:rFonts w:ascii="Times New Roman" w:hAnsi="Times New Roman" w:cs="Times New Roman"/>
        </w:rPr>
      </w:pPr>
      <w:r w:rsidRPr="00367BEC">
        <w:rPr>
          <w:rFonts w:ascii="Times New Roman" w:hAnsi="Times New Roman"/>
          <w:vertAlign w:val="superscript"/>
        </w:rPr>
        <w:t>2</w:t>
      </w:r>
      <w:r w:rsidRPr="00367BEC">
        <w:rPr>
          <w:rFonts w:ascii="Times New Roman" w:hAnsi="Times New Roman"/>
        </w:rPr>
        <w:t xml:space="preserve"> Consultor independiente, España.</w:t>
      </w:r>
    </w:p>
    <w:p w14:paraId="2BE41DB5" w14:textId="290A6275" w:rsidR="00C56A05" w:rsidRPr="00367BEC" w:rsidRDefault="00C56A05" w:rsidP="00DD77CA">
      <w:pPr>
        <w:spacing w:after="0" w:line="480" w:lineRule="auto"/>
        <w:jc w:val="both"/>
        <w:rPr>
          <w:rFonts w:ascii="Times New Roman" w:hAnsi="Times New Roman" w:cs="Times New Roman"/>
        </w:rPr>
      </w:pPr>
      <w:r w:rsidRPr="00367BEC">
        <w:rPr>
          <w:rFonts w:ascii="Times New Roman" w:hAnsi="Times New Roman"/>
          <w:vertAlign w:val="superscript"/>
        </w:rPr>
        <w:t>*</w:t>
      </w:r>
      <w:r w:rsidRPr="00367BEC">
        <w:t xml:space="preserve"> </w:t>
      </w:r>
      <w:r w:rsidRPr="00367BEC">
        <w:rPr>
          <w:rFonts w:ascii="Times New Roman" w:hAnsi="Times New Roman"/>
          <w:i/>
        </w:rPr>
        <w:t>Autor para correspondencia</w:t>
      </w:r>
      <w:r w:rsidRPr="00367BEC">
        <w:rPr>
          <w:rFonts w:ascii="Times New Roman" w:hAnsi="Times New Roman"/>
        </w:rPr>
        <w:t>: Almudena González-Domínguez; Weber. Calle Moreto 17, 5º dcha. 28014 Madrid, España. (+34) 916393824. almudena.gonzalez@weber.org.es</w:t>
      </w:r>
    </w:p>
    <w:p w14:paraId="34602188" w14:textId="22C0B087" w:rsidR="003A628C" w:rsidRPr="00367BEC" w:rsidRDefault="00C56A05" w:rsidP="00DD77CA">
      <w:pPr>
        <w:spacing w:after="0" w:line="480" w:lineRule="auto"/>
        <w:jc w:val="both"/>
        <w:rPr>
          <w:rFonts w:ascii="Times New Roman" w:hAnsi="Times New Roman" w:cs="Times New Roman"/>
        </w:rPr>
      </w:pPr>
      <w:r w:rsidRPr="00367BEC">
        <w:rPr>
          <w:rFonts w:ascii="Times New Roman" w:hAnsi="Times New Roman"/>
          <w:b/>
          <w:sz w:val="24"/>
        </w:rPr>
        <w:t>Conflicto de interés</w:t>
      </w:r>
      <w:r w:rsidRPr="00367BEC">
        <w:rPr>
          <w:rFonts w:ascii="Times New Roman" w:hAnsi="Times New Roman"/>
          <w:b/>
        </w:rPr>
        <w:t xml:space="preserve">: </w:t>
      </w:r>
      <w:r w:rsidRPr="00367BEC">
        <w:rPr>
          <w:rFonts w:ascii="Times New Roman" w:hAnsi="Times New Roman"/>
        </w:rPr>
        <w:t xml:space="preserve">TML y AGD son empleados de Weber, empresa que recibió honorarios de Grünenthal </w:t>
      </w:r>
      <w:proofErr w:type="spellStart"/>
      <w:r w:rsidRPr="00367BEC">
        <w:rPr>
          <w:rFonts w:ascii="Times New Roman" w:hAnsi="Times New Roman"/>
        </w:rPr>
        <w:t>Pharma</w:t>
      </w:r>
      <w:proofErr w:type="spellEnd"/>
      <w:r w:rsidRPr="00367BEC">
        <w:rPr>
          <w:rFonts w:ascii="Times New Roman" w:hAnsi="Times New Roman"/>
        </w:rPr>
        <w:t xml:space="preserve"> para desarrollar este estudio. SAC es un consultor independiente, que recibió honorarios de Grünenthal </w:t>
      </w:r>
      <w:proofErr w:type="spellStart"/>
      <w:r w:rsidRPr="00367BEC">
        <w:rPr>
          <w:rFonts w:ascii="Times New Roman" w:hAnsi="Times New Roman"/>
        </w:rPr>
        <w:t>Pharma</w:t>
      </w:r>
      <w:proofErr w:type="spellEnd"/>
      <w:r w:rsidRPr="00367BEC">
        <w:rPr>
          <w:rFonts w:ascii="Times New Roman" w:hAnsi="Times New Roman"/>
        </w:rPr>
        <w:t>.</w:t>
      </w:r>
    </w:p>
    <w:p w14:paraId="03992F1E" w14:textId="136A892A" w:rsidR="00747886" w:rsidRPr="00367BEC" w:rsidRDefault="00747886" w:rsidP="00DD77CA">
      <w:pPr>
        <w:spacing w:after="0" w:line="480" w:lineRule="auto"/>
        <w:jc w:val="both"/>
        <w:rPr>
          <w:rFonts w:ascii="Times New Roman" w:hAnsi="Times New Roman" w:cs="Times New Roman"/>
          <w:b/>
          <w:sz w:val="24"/>
          <w:szCs w:val="24"/>
        </w:rPr>
      </w:pPr>
      <w:r w:rsidRPr="00367BEC">
        <w:rPr>
          <w:rFonts w:ascii="Times New Roman" w:hAnsi="Times New Roman"/>
          <w:b/>
          <w:sz w:val="24"/>
        </w:rPr>
        <w:t>Resumen</w:t>
      </w:r>
    </w:p>
    <w:p w14:paraId="4244D987" w14:textId="5C457ED2" w:rsidR="00AD0CA8" w:rsidRPr="00367BEC" w:rsidRDefault="00C20326" w:rsidP="00DD77CA">
      <w:pPr>
        <w:spacing w:after="0" w:line="480" w:lineRule="auto"/>
        <w:jc w:val="both"/>
        <w:rPr>
          <w:rFonts w:ascii="Times New Roman" w:hAnsi="Times New Roman" w:cs="Times New Roman"/>
        </w:rPr>
      </w:pPr>
      <w:r w:rsidRPr="00367BEC">
        <w:rPr>
          <w:rFonts w:ascii="Times New Roman" w:hAnsi="Times New Roman"/>
          <w:b/>
        </w:rPr>
        <w:t>Objetivo:</w:t>
      </w:r>
      <w:r w:rsidRPr="00367BEC">
        <w:rPr>
          <w:rFonts w:ascii="Times New Roman" w:hAnsi="Times New Roman"/>
        </w:rPr>
        <w:t xml:space="preserve"> El tapentadol </w:t>
      </w:r>
      <w:r w:rsidR="00A748AA">
        <w:rPr>
          <w:rFonts w:ascii="Times New Roman" w:hAnsi="Times New Roman"/>
        </w:rPr>
        <w:t xml:space="preserve">es un opioide potente que combina </w:t>
      </w:r>
      <w:r w:rsidR="005A6A9D">
        <w:rPr>
          <w:rFonts w:ascii="Times New Roman" w:hAnsi="Times New Roman"/>
        </w:rPr>
        <w:t>el</w:t>
      </w:r>
      <w:r w:rsidR="00A748AA">
        <w:rPr>
          <w:rFonts w:ascii="Times New Roman" w:hAnsi="Times New Roman"/>
        </w:rPr>
        <w:t xml:space="preserve"> agonismo de</w:t>
      </w:r>
      <w:r w:rsidR="005A6A9D">
        <w:rPr>
          <w:rFonts w:ascii="Times New Roman" w:hAnsi="Times New Roman"/>
        </w:rPr>
        <w:t>l</w:t>
      </w:r>
      <w:r w:rsidR="00A748AA">
        <w:rPr>
          <w:rFonts w:ascii="Times New Roman" w:hAnsi="Times New Roman"/>
        </w:rPr>
        <w:t xml:space="preserve"> receptor </w:t>
      </w:r>
      <w:r w:rsidR="00A748AA">
        <w:rPr>
          <w:rFonts w:ascii="Times New Roman" w:hAnsi="Times New Roman" w:cs="Times New Roman"/>
        </w:rPr>
        <w:t>µ</w:t>
      </w:r>
      <w:r w:rsidR="00A748AA">
        <w:rPr>
          <w:rFonts w:ascii="Times New Roman" w:hAnsi="Times New Roman"/>
        </w:rPr>
        <w:t xml:space="preserve">-opioide </w:t>
      </w:r>
      <w:r w:rsidR="005A6A9D">
        <w:rPr>
          <w:rFonts w:ascii="Times New Roman" w:hAnsi="Times New Roman"/>
        </w:rPr>
        <w:t>y</w:t>
      </w:r>
      <w:r w:rsidR="00A748AA">
        <w:rPr>
          <w:rFonts w:ascii="Times New Roman" w:hAnsi="Times New Roman"/>
        </w:rPr>
        <w:t xml:space="preserve"> </w:t>
      </w:r>
      <w:r w:rsidR="005A6A9D">
        <w:rPr>
          <w:rFonts w:ascii="Times New Roman" w:hAnsi="Times New Roman"/>
        </w:rPr>
        <w:t xml:space="preserve">la </w:t>
      </w:r>
      <w:r w:rsidR="00A748AA">
        <w:rPr>
          <w:rFonts w:ascii="Times New Roman" w:hAnsi="Times New Roman"/>
        </w:rPr>
        <w:t xml:space="preserve">inhibición de la recaptación de noradrenalina </w:t>
      </w:r>
      <w:r w:rsidR="005A6A9D">
        <w:rPr>
          <w:rFonts w:ascii="Times New Roman" w:hAnsi="Times New Roman"/>
        </w:rPr>
        <w:t xml:space="preserve">en la misma molécula, </w:t>
      </w:r>
      <w:r w:rsidR="00A748AA">
        <w:rPr>
          <w:rFonts w:ascii="Times New Roman" w:hAnsi="Times New Roman"/>
        </w:rPr>
        <w:t xml:space="preserve">y </w:t>
      </w:r>
      <w:r w:rsidRPr="00367BEC">
        <w:rPr>
          <w:rFonts w:ascii="Times New Roman" w:hAnsi="Times New Roman"/>
        </w:rPr>
        <w:t xml:space="preserve">permite una analgesia eficaz </w:t>
      </w:r>
      <w:r w:rsidR="00A748AA">
        <w:rPr>
          <w:rFonts w:ascii="Times New Roman" w:hAnsi="Times New Roman"/>
        </w:rPr>
        <w:t xml:space="preserve">para el tratamiento del dolor crónico intenso con </w:t>
      </w:r>
      <w:r w:rsidRPr="00367BEC">
        <w:rPr>
          <w:rFonts w:ascii="Times New Roman" w:hAnsi="Times New Roman"/>
        </w:rPr>
        <w:t xml:space="preserve">menos </w:t>
      </w:r>
      <w:r w:rsidR="00A748AA">
        <w:rPr>
          <w:rFonts w:ascii="Times New Roman" w:hAnsi="Times New Roman"/>
        </w:rPr>
        <w:t>reacciones</w:t>
      </w:r>
      <w:r w:rsidR="00A748AA" w:rsidRPr="00367BEC">
        <w:rPr>
          <w:rFonts w:ascii="Times New Roman" w:hAnsi="Times New Roman"/>
        </w:rPr>
        <w:t xml:space="preserve"> </w:t>
      </w:r>
      <w:r w:rsidR="00A748AA">
        <w:rPr>
          <w:rFonts w:ascii="Times New Roman" w:hAnsi="Times New Roman"/>
        </w:rPr>
        <w:t>adversas</w:t>
      </w:r>
      <w:r w:rsidR="00A748AA" w:rsidRPr="00367BEC">
        <w:rPr>
          <w:rFonts w:ascii="Times New Roman" w:hAnsi="Times New Roman"/>
        </w:rPr>
        <w:t xml:space="preserve"> </w:t>
      </w:r>
      <w:r w:rsidRPr="00367BEC">
        <w:rPr>
          <w:rFonts w:ascii="Times New Roman" w:hAnsi="Times New Roman"/>
        </w:rPr>
        <w:t xml:space="preserve">gastrointestinales que los opioides clásicos. Los datos del mundo real  respaldan los hallazgos </w:t>
      </w:r>
      <w:r w:rsidR="00A748AA">
        <w:rPr>
          <w:rFonts w:ascii="Times New Roman" w:hAnsi="Times New Roman"/>
        </w:rPr>
        <w:t>de los ensayos clínicos del desarrollo de tapentadol</w:t>
      </w:r>
      <w:r w:rsidRPr="00367BEC">
        <w:rPr>
          <w:rFonts w:ascii="Times New Roman" w:hAnsi="Times New Roman"/>
        </w:rPr>
        <w:t xml:space="preserve">. La finalidad de esta revisión sistemática era describir la </w:t>
      </w:r>
      <w:r w:rsidR="00A748AA">
        <w:rPr>
          <w:rFonts w:ascii="Times New Roman" w:hAnsi="Times New Roman"/>
        </w:rPr>
        <w:t>efectividad</w:t>
      </w:r>
      <w:r w:rsidRPr="00367BEC">
        <w:rPr>
          <w:rFonts w:ascii="Times New Roman" w:hAnsi="Times New Roman"/>
        </w:rPr>
        <w:t>, la tolerabilidad y los niveles de dosis prescritos de tapentadol en la práctica clínica habitual.</w:t>
      </w:r>
    </w:p>
    <w:p w14:paraId="0D7FF4C5" w14:textId="51C7F1D5" w:rsidR="00C20326" w:rsidRPr="00367BEC" w:rsidRDefault="00CF1C1E" w:rsidP="00DD77CA">
      <w:pPr>
        <w:spacing w:after="0" w:line="480" w:lineRule="auto"/>
        <w:jc w:val="both"/>
        <w:rPr>
          <w:rStyle w:val="Textoennegrita"/>
          <w:rFonts w:ascii="Times New Roman" w:hAnsi="Times New Roman" w:cs="Times New Roman"/>
          <w:b w:val="0"/>
          <w:bCs w:val="0"/>
        </w:rPr>
      </w:pPr>
      <w:r w:rsidRPr="00367BEC">
        <w:rPr>
          <w:rFonts w:ascii="Times New Roman" w:hAnsi="Times New Roman"/>
          <w:b/>
        </w:rPr>
        <w:t xml:space="preserve">Métodos: </w:t>
      </w:r>
      <w:r w:rsidRPr="00367BEC">
        <w:rPr>
          <w:rFonts w:ascii="Times New Roman" w:hAnsi="Times New Roman"/>
        </w:rPr>
        <w:t>M</w:t>
      </w:r>
      <w:r w:rsidRPr="00367BEC">
        <w:rPr>
          <w:rStyle w:val="Textoennegrita"/>
          <w:rFonts w:ascii="Times New Roman" w:hAnsi="Times New Roman"/>
          <w:b w:val="0"/>
        </w:rPr>
        <w:t>ediante búsquedas en PubMed</w:t>
      </w:r>
      <w:r w:rsidRPr="00367BEC">
        <w:rPr>
          <w:rStyle w:val="Textoennegrita"/>
          <w:rFonts w:ascii="Times New Roman" w:hAnsi="Times New Roman"/>
          <w:b w:val="0"/>
          <w:vertAlign w:val="superscript"/>
        </w:rPr>
        <w:t>®</w:t>
      </w:r>
      <w:r w:rsidRPr="00367BEC">
        <w:rPr>
          <w:rStyle w:val="Textoennegrita"/>
          <w:rFonts w:ascii="Times New Roman" w:hAnsi="Times New Roman"/>
          <w:b w:val="0"/>
        </w:rPr>
        <w:t xml:space="preserve"> y </w:t>
      </w:r>
      <w:proofErr w:type="spellStart"/>
      <w:r w:rsidRPr="00367BEC">
        <w:rPr>
          <w:rStyle w:val="Textoennegrita"/>
          <w:rFonts w:ascii="Times New Roman" w:hAnsi="Times New Roman"/>
          <w:b w:val="0"/>
        </w:rPr>
        <w:t>Embase</w:t>
      </w:r>
      <w:proofErr w:type="spellEnd"/>
      <w:r w:rsidRPr="00367BEC">
        <w:rPr>
          <w:rStyle w:val="Textoennegrita"/>
          <w:rFonts w:ascii="Times New Roman" w:hAnsi="Times New Roman"/>
          <w:b w:val="0"/>
          <w:vertAlign w:val="superscript"/>
        </w:rPr>
        <w:t>®</w:t>
      </w:r>
      <w:r w:rsidRPr="00367BEC">
        <w:rPr>
          <w:rStyle w:val="Textoennegrita"/>
          <w:rFonts w:ascii="Times New Roman" w:hAnsi="Times New Roman"/>
          <w:b w:val="0"/>
        </w:rPr>
        <w:t xml:space="preserve">, se identificaron artículos de ensayos observacionales en los que se estudió la </w:t>
      </w:r>
      <w:r w:rsidR="00A748AA">
        <w:rPr>
          <w:rStyle w:val="Textoennegrita"/>
          <w:rFonts w:ascii="Times New Roman" w:hAnsi="Times New Roman"/>
          <w:b w:val="0"/>
        </w:rPr>
        <w:t>efectividad</w:t>
      </w:r>
      <w:r w:rsidR="00A748AA" w:rsidRPr="00367BEC">
        <w:rPr>
          <w:rStyle w:val="Textoennegrita"/>
          <w:rFonts w:ascii="Times New Roman" w:hAnsi="Times New Roman"/>
          <w:b w:val="0"/>
        </w:rPr>
        <w:t xml:space="preserve"> </w:t>
      </w:r>
      <w:r w:rsidRPr="00367BEC">
        <w:rPr>
          <w:rStyle w:val="Textoennegrita"/>
          <w:rFonts w:ascii="Times New Roman" w:hAnsi="Times New Roman"/>
          <w:b w:val="0"/>
        </w:rPr>
        <w:t xml:space="preserve">del tapentadol en el control del dolor en adultos, y que se habían publicado íntegramente en inglés o español entre los años 2008 y 2018. La </w:t>
      </w:r>
      <w:r w:rsidR="00464F1C">
        <w:rPr>
          <w:rStyle w:val="Textoennegrita"/>
          <w:rFonts w:ascii="Times New Roman" w:hAnsi="Times New Roman"/>
          <w:b w:val="0"/>
        </w:rPr>
        <w:t>búsqueda</w:t>
      </w:r>
      <w:r w:rsidR="00464F1C" w:rsidRPr="00367BEC">
        <w:rPr>
          <w:rStyle w:val="Textoennegrita"/>
          <w:rFonts w:ascii="Times New Roman" w:hAnsi="Times New Roman"/>
          <w:b w:val="0"/>
        </w:rPr>
        <w:t xml:space="preserve"> </w:t>
      </w:r>
      <w:r w:rsidRPr="00367BEC">
        <w:rPr>
          <w:rStyle w:val="Textoennegrita"/>
          <w:rFonts w:ascii="Times New Roman" w:hAnsi="Times New Roman"/>
          <w:b w:val="0"/>
        </w:rPr>
        <w:t>se limitó a estudios en los que se especificó la dosis y se evaluó la analgesia.</w:t>
      </w:r>
    </w:p>
    <w:p w14:paraId="623F87C2" w14:textId="40830B66" w:rsidR="00C20326" w:rsidRPr="00367BEC" w:rsidRDefault="00C20326" w:rsidP="00DD77CA">
      <w:pPr>
        <w:spacing w:after="0" w:line="480" w:lineRule="auto"/>
        <w:jc w:val="both"/>
        <w:rPr>
          <w:rFonts w:ascii="Times New Roman" w:hAnsi="Times New Roman" w:cs="Times New Roman"/>
        </w:rPr>
      </w:pPr>
      <w:r w:rsidRPr="00367BEC">
        <w:rPr>
          <w:rFonts w:ascii="Times New Roman" w:hAnsi="Times New Roman"/>
          <w:b/>
        </w:rPr>
        <w:t xml:space="preserve">Resultados: </w:t>
      </w:r>
      <w:r w:rsidRPr="00367BEC">
        <w:rPr>
          <w:rFonts w:ascii="Times New Roman" w:hAnsi="Times New Roman"/>
        </w:rPr>
        <w:t xml:space="preserve">Se incluyeron 14 estudios. Los participantes fueron adultos con dolor crónico de múltiples etiologías, relacionado y no relacionado con el cáncer, con múltiples comorbilidades y que habían recibido tratamiento con opioides. En la mayoría de estos estudios se habían </w:t>
      </w:r>
      <w:r w:rsidR="00A748AA">
        <w:rPr>
          <w:rFonts w:ascii="Times New Roman" w:hAnsi="Times New Roman"/>
        </w:rPr>
        <w:t>prescrito</w:t>
      </w:r>
      <w:r w:rsidRPr="00367BEC">
        <w:rPr>
          <w:rFonts w:ascii="Times New Roman" w:hAnsi="Times New Roman"/>
        </w:rPr>
        <w:t xml:space="preserve"> dosis iniciales de tapentadol de ≥100 mg/día a &lt;150 mg/día, y se ajustaron hasta una mediana de 213,6 [57,7] mg/día. En todos los estudios de observaron reducciones significativas de la </w:t>
      </w:r>
      <w:r w:rsidRPr="00367BEC">
        <w:rPr>
          <w:rFonts w:ascii="Times New Roman" w:hAnsi="Times New Roman"/>
        </w:rPr>
        <w:lastRenderedPageBreak/>
        <w:t xml:space="preserve">intensidad del dolor a lo largo del periodo de observación respecto al inicio. Además, en todos los estudios se observó una mejora de la calidad de vida al final del periodo de observación, en comparación con el inicio. </w:t>
      </w:r>
    </w:p>
    <w:p w14:paraId="01B68D67" w14:textId="0EB62F60" w:rsidR="009F4EC1" w:rsidRPr="00367BEC" w:rsidRDefault="00C20326" w:rsidP="00DD77CA">
      <w:pPr>
        <w:spacing w:after="0" w:line="480" w:lineRule="auto"/>
        <w:jc w:val="both"/>
        <w:rPr>
          <w:rFonts w:ascii="Times New Roman" w:hAnsi="Times New Roman" w:cs="Times New Roman"/>
          <w:iCs/>
        </w:rPr>
      </w:pPr>
      <w:r w:rsidRPr="00367BEC">
        <w:rPr>
          <w:rFonts w:ascii="Times New Roman" w:hAnsi="Times New Roman"/>
          <w:b/>
        </w:rPr>
        <w:t xml:space="preserve">Conclusiones: </w:t>
      </w:r>
      <w:r w:rsidRPr="00367BEC">
        <w:rPr>
          <w:rFonts w:ascii="Times New Roman" w:hAnsi="Times New Roman"/>
        </w:rPr>
        <w:t xml:space="preserve">Los hallazgos de la práctica clínica habitual muestran que las dosis prescritas de tapentadol son, de promedio, inferiores a 300 mg/día; se considera que es un tratamiento </w:t>
      </w:r>
      <w:r w:rsidR="00A748AA">
        <w:rPr>
          <w:rFonts w:ascii="Times New Roman" w:hAnsi="Times New Roman"/>
        </w:rPr>
        <w:t>efectivo</w:t>
      </w:r>
      <w:r w:rsidR="00A748AA" w:rsidRPr="00367BEC">
        <w:rPr>
          <w:rFonts w:ascii="Times New Roman" w:hAnsi="Times New Roman"/>
        </w:rPr>
        <w:t xml:space="preserve"> </w:t>
      </w:r>
      <w:r w:rsidRPr="00367BEC">
        <w:rPr>
          <w:rFonts w:ascii="Times New Roman" w:hAnsi="Times New Roman"/>
        </w:rPr>
        <w:t xml:space="preserve">y </w:t>
      </w:r>
      <w:r w:rsidR="00A748AA">
        <w:rPr>
          <w:rFonts w:ascii="Times New Roman" w:hAnsi="Times New Roman"/>
        </w:rPr>
        <w:t>en general bien tolerado</w:t>
      </w:r>
      <w:r w:rsidR="00A748AA" w:rsidRPr="00367BEC">
        <w:rPr>
          <w:rFonts w:ascii="Times New Roman" w:hAnsi="Times New Roman"/>
        </w:rPr>
        <w:t xml:space="preserve"> </w:t>
      </w:r>
      <w:r w:rsidRPr="00367BEC">
        <w:rPr>
          <w:rFonts w:ascii="Times New Roman" w:hAnsi="Times New Roman"/>
        </w:rPr>
        <w:t xml:space="preserve">para el control del dolor crónico intenso relacionado y no relacionado con el cáncer en pacientes cuyos profesionales sanitarios </w:t>
      </w:r>
      <w:r w:rsidR="00A748AA" w:rsidRPr="00367BEC">
        <w:rPr>
          <w:rFonts w:ascii="Times New Roman" w:hAnsi="Times New Roman"/>
        </w:rPr>
        <w:t>consider</w:t>
      </w:r>
      <w:r w:rsidR="00A748AA">
        <w:rPr>
          <w:rFonts w:ascii="Times New Roman" w:hAnsi="Times New Roman"/>
        </w:rPr>
        <w:t xml:space="preserve">en </w:t>
      </w:r>
      <w:r w:rsidRPr="00367BEC">
        <w:rPr>
          <w:rFonts w:ascii="Times New Roman" w:hAnsi="Times New Roman"/>
        </w:rPr>
        <w:t>que se precisa el uso de un opioide</w:t>
      </w:r>
      <w:r w:rsidR="00A748AA">
        <w:rPr>
          <w:rFonts w:ascii="Times New Roman" w:hAnsi="Times New Roman"/>
        </w:rPr>
        <w:t xml:space="preserve"> potente</w:t>
      </w:r>
      <w:r w:rsidRPr="00367BEC">
        <w:rPr>
          <w:rFonts w:ascii="Times New Roman" w:hAnsi="Times New Roman"/>
        </w:rPr>
        <w:t>. Se anima a realizar estudios pragmáticos con una alta calidad metodológica para confirmar los resultados de los ensayos clínicos en relación con los beneficios del tapentadol en términos de función y calidad de vida.</w:t>
      </w:r>
    </w:p>
    <w:p w14:paraId="101FBB8F" w14:textId="21824B25" w:rsidR="002E33F8" w:rsidRDefault="002E33F8" w:rsidP="00DD77CA">
      <w:pPr>
        <w:spacing w:after="0" w:line="480" w:lineRule="auto"/>
        <w:jc w:val="both"/>
        <w:rPr>
          <w:rFonts w:ascii="Times New Roman" w:hAnsi="Times New Roman"/>
        </w:rPr>
      </w:pPr>
      <w:r w:rsidRPr="00367BEC">
        <w:rPr>
          <w:rFonts w:ascii="Times New Roman" w:hAnsi="Times New Roman"/>
          <w:b/>
        </w:rPr>
        <w:t>Palabras clave</w:t>
      </w:r>
      <w:r w:rsidRPr="00367BEC">
        <w:rPr>
          <w:rFonts w:ascii="Times New Roman" w:hAnsi="Times New Roman"/>
        </w:rPr>
        <w:t>: tapentadol, dolor, dolor crónico</w:t>
      </w:r>
    </w:p>
    <w:p w14:paraId="1E8988EF" w14:textId="77777777" w:rsidR="002E541F" w:rsidRDefault="002E541F" w:rsidP="00DD77CA">
      <w:pPr>
        <w:spacing w:after="0" w:line="480" w:lineRule="auto"/>
        <w:jc w:val="both"/>
        <w:rPr>
          <w:rFonts w:ascii="Times New Roman" w:hAnsi="Times New Roman"/>
        </w:rPr>
      </w:pPr>
    </w:p>
    <w:p w14:paraId="5EBF6CC2" w14:textId="77777777" w:rsidR="002E541F" w:rsidRPr="001340FB" w:rsidRDefault="002E541F" w:rsidP="002E541F">
      <w:pPr>
        <w:spacing w:after="0" w:line="480" w:lineRule="auto"/>
        <w:jc w:val="both"/>
        <w:rPr>
          <w:rFonts w:ascii="Times New Roman" w:hAnsi="Times New Roman" w:cs="Times New Roman"/>
          <w:b/>
          <w:sz w:val="24"/>
          <w:szCs w:val="24"/>
          <w:lang w:val="en-GB"/>
        </w:rPr>
      </w:pPr>
      <w:r w:rsidRPr="001340FB">
        <w:rPr>
          <w:rFonts w:ascii="Times New Roman" w:hAnsi="Times New Roman" w:cs="Times New Roman"/>
          <w:b/>
          <w:sz w:val="24"/>
          <w:szCs w:val="24"/>
          <w:lang w:val="en-GB"/>
        </w:rPr>
        <w:t>Abstract</w:t>
      </w:r>
    </w:p>
    <w:p w14:paraId="70BC3E91" w14:textId="247F042B" w:rsidR="002E541F" w:rsidRDefault="002E541F" w:rsidP="002E541F">
      <w:pPr>
        <w:spacing w:after="0" w:line="480" w:lineRule="auto"/>
        <w:jc w:val="both"/>
        <w:rPr>
          <w:rFonts w:ascii="Times New Roman" w:hAnsi="Times New Roman" w:cs="Times New Roman"/>
          <w:lang w:val="en-US"/>
        </w:rPr>
      </w:pPr>
      <w:r w:rsidRPr="00C20326">
        <w:rPr>
          <w:rFonts w:ascii="Times New Roman" w:hAnsi="Times New Roman" w:cs="Times New Roman"/>
          <w:b/>
          <w:bCs/>
          <w:lang w:val="en-US"/>
        </w:rPr>
        <w:t>Objective:</w:t>
      </w:r>
      <w:r>
        <w:rPr>
          <w:rFonts w:ascii="Times New Roman" w:hAnsi="Times New Roman" w:cs="Times New Roman"/>
          <w:lang w:val="en-US"/>
        </w:rPr>
        <w:t xml:space="preserve"> Tapentadol</w:t>
      </w:r>
      <w:r w:rsidR="00A748AA">
        <w:rPr>
          <w:rFonts w:ascii="Times New Roman" w:hAnsi="Times New Roman" w:cs="Times New Roman"/>
          <w:lang w:val="en-US"/>
        </w:rPr>
        <w:t xml:space="preserve"> is </w:t>
      </w:r>
      <w:r w:rsidRPr="00941DA4">
        <w:rPr>
          <w:rFonts w:ascii="Times New Roman" w:hAnsi="Times New Roman" w:cs="Times New Roman"/>
          <w:lang w:val="en-US"/>
        </w:rPr>
        <w:t xml:space="preserve">a </w:t>
      </w:r>
      <w:r>
        <w:rPr>
          <w:rFonts w:ascii="Times New Roman" w:hAnsi="Times New Roman" w:cs="Times New Roman"/>
          <w:lang w:val="en-US"/>
        </w:rPr>
        <w:t>potent opioid</w:t>
      </w:r>
      <w:r w:rsidR="00A748AA">
        <w:rPr>
          <w:rFonts w:ascii="Times New Roman" w:hAnsi="Times New Roman" w:cs="Times New Roman"/>
          <w:lang w:val="en-US"/>
        </w:rPr>
        <w:t xml:space="preserve"> that combines µ-opioid receptor </w:t>
      </w:r>
      <w:r w:rsidR="00FC0BD7">
        <w:rPr>
          <w:rFonts w:ascii="Times New Roman" w:hAnsi="Times New Roman" w:cs="Times New Roman"/>
          <w:lang w:val="en-US"/>
        </w:rPr>
        <w:t xml:space="preserve">agonism </w:t>
      </w:r>
      <w:r w:rsidR="00A748AA">
        <w:rPr>
          <w:rFonts w:ascii="Times New Roman" w:hAnsi="Times New Roman" w:cs="Times New Roman"/>
          <w:lang w:val="en-US"/>
        </w:rPr>
        <w:t xml:space="preserve">and noradrenaline reuptake </w:t>
      </w:r>
      <w:r w:rsidR="00FC0BD7">
        <w:rPr>
          <w:rFonts w:ascii="Times New Roman" w:hAnsi="Times New Roman" w:cs="Times New Roman"/>
          <w:lang w:val="en-US"/>
        </w:rPr>
        <w:t xml:space="preserve">inhibition </w:t>
      </w:r>
      <w:r w:rsidR="00A748AA">
        <w:rPr>
          <w:rFonts w:ascii="Times New Roman" w:hAnsi="Times New Roman" w:cs="Times New Roman"/>
          <w:lang w:val="en-US"/>
        </w:rPr>
        <w:t>in the same molecule</w:t>
      </w:r>
      <w:r>
        <w:rPr>
          <w:rFonts w:ascii="Times New Roman" w:hAnsi="Times New Roman" w:cs="Times New Roman"/>
          <w:lang w:val="en-US"/>
        </w:rPr>
        <w:t xml:space="preserve">, </w:t>
      </w:r>
      <w:r w:rsidR="00540B76">
        <w:rPr>
          <w:rFonts w:ascii="Times New Roman" w:hAnsi="Times New Roman" w:cs="Times New Roman"/>
          <w:lang w:val="en-US"/>
        </w:rPr>
        <w:t>allowing</w:t>
      </w:r>
      <w:r>
        <w:rPr>
          <w:rFonts w:ascii="Times New Roman" w:hAnsi="Times New Roman" w:cs="Times New Roman"/>
          <w:lang w:val="en-US"/>
        </w:rPr>
        <w:t xml:space="preserve"> </w:t>
      </w:r>
      <w:r w:rsidRPr="00941DA4">
        <w:rPr>
          <w:rFonts w:ascii="Times New Roman" w:hAnsi="Times New Roman" w:cs="Times New Roman"/>
          <w:lang w:val="en-US"/>
        </w:rPr>
        <w:t>effective analgesia</w:t>
      </w:r>
      <w:r w:rsidR="00A748AA">
        <w:rPr>
          <w:rFonts w:ascii="Times New Roman" w:hAnsi="Times New Roman" w:cs="Times New Roman"/>
          <w:lang w:val="en-US"/>
        </w:rPr>
        <w:t xml:space="preserve"> in the management of severe chronic pain</w:t>
      </w:r>
      <w:r>
        <w:rPr>
          <w:rFonts w:ascii="Times New Roman" w:hAnsi="Times New Roman" w:cs="Times New Roman"/>
          <w:lang w:val="en-US"/>
        </w:rPr>
        <w:t xml:space="preserve"> </w:t>
      </w:r>
      <w:r w:rsidR="00A748AA">
        <w:rPr>
          <w:rFonts w:ascii="Times New Roman" w:hAnsi="Times New Roman" w:cs="Times New Roman"/>
          <w:lang w:val="en-US"/>
        </w:rPr>
        <w:t>with</w:t>
      </w:r>
      <w:r>
        <w:rPr>
          <w:rFonts w:ascii="Times New Roman" w:hAnsi="Times New Roman" w:cs="Times New Roman"/>
          <w:lang w:val="en-US"/>
        </w:rPr>
        <w:t xml:space="preserve"> less gastrointestinal </w:t>
      </w:r>
      <w:r w:rsidR="00A748AA">
        <w:rPr>
          <w:rFonts w:ascii="Times New Roman" w:hAnsi="Times New Roman" w:cs="Times New Roman"/>
          <w:lang w:val="en-US"/>
        </w:rPr>
        <w:t>adverse reactions</w:t>
      </w:r>
      <w:r>
        <w:rPr>
          <w:rFonts w:ascii="Times New Roman" w:hAnsi="Times New Roman" w:cs="Times New Roman"/>
          <w:lang w:val="en-US"/>
        </w:rPr>
        <w:t xml:space="preserve"> compared to classical opioids. R</w:t>
      </w:r>
      <w:r w:rsidRPr="00941DA4">
        <w:rPr>
          <w:rFonts w:ascii="Times New Roman" w:hAnsi="Times New Roman" w:cs="Times New Roman"/>
          <w:lang w:val="en-US"/>
        </w:rPr>
        <w:t>eal-world evidence support</w:t>
      </w:r>
      <w:r w:rsidR="00761D01">
        <w:rPr>
          <w:rFonts w:ascii="Times New Roman" w:hAnsi="Times New Roman" w:cs="Times New Roman"/>
          <w:lang w:val="en-US"/>
        </w:rPr>
        <w:t>s</w:t>
      </w:r>
      <w:r w:rsidRPr="00941DA4">
        <w:rPr>
          <w:rFonts w:ascii="Times New Roman" w:hAnsi="Times New Roman" w:cs="Times New Roman"/>
          <w:lang w:val="en-US"/>
        </w:rPr>
        <w:t xml:space="preserve"> clinical trial</w:t>
      </w:r>
      <w:r>
        <w:rPr>
          <w:rFonts w:ascii="Times New Roman" w:hAnsi="Times New Roman" w:cs="Times New Roman"/>
          <w:lang w:val="en-US"/>
        </w:rPr>
        <w:t xml:space="preserve"> findings </w:t>
      </w:r>
      <w:r w:rsidR="00761D01">
        <w:rPr>
          <w:rFonts w:ascii="Times New Roman" w:hAnsi="Times New Roman" w:cs="Times New Roman"/>
          <w:lang w:val="en-US"/>
        </w:rPr>
        <w:t>in the development of tapentadol</w:t>
      </w:r>
      <w:r>
        <w:rPr>
          <w:rFonts w:ascii="Times New Roman" w:hAnsi="Times New Roman" w:cs="Times New Roman"/>
          <w:lang w:val="en-US"/>
        </w:rPr>
        <w:t xml:space="preserve">. The aim of this systematic review was to describe </w:t>
      </w:r>
      <w:r w:rsidRPr="00941DA4">
        <w:rPr>
          <w:rFonts w:ascii="Times New Roman" w:hAnsi="Times New Roman" w:cs="Times New Roman"/>
          <w:lang w:val="en-US"/>
        </w:rPr>
        <w:t xml:space="preserve">the </w:t>
      </w:r>
      <w:r>
        <w:rPr>
          <w:rFonts w:ascii="Times New Roman" w:hAnsi="Times New Roman" w:cs="Times New Roman"/>
          <w:lang w:val="en-US"/>
        </w:rPr>
        <w:t>effectiveness,</w:t>
      </w:r>
      <w:r w:rsidRPr="00941DA4">
        <w:rPr>
          <w:rFonts w:ascii="Times New Roman" w:hAnsi="Times New Roman" w:cs="Times New Roman"/>
          <w:lang w:val="en-US"/>
        </w:rPr>
        <w:t xml:space="preserve"> tolerability</w:t>
      </w:r>
      <w:r>
        <w:rPr>
          <w:rFonts w:ascii="Times New Roman" w:hAnsi="Times New Roman" w:cs="Times New Roman"/>
          <w:lang w:val="en-US"/>
        </w:rPr>
        <w:t>, and prescribed dose levels</w:t>
      </w:r>
      <w:r w:rsidRPr="00941DA4">
        <w:rPr>
          <w:rFonts w:ascii="Times New Roman" w:hAnsi="Times New Roman" w:cs="Times New Roman"/>
          <w:lang w:val="en-US"/>
        </w:rPr>
        <w:t xml:space="preserve"> of tapentadol in routine clinical practice.</w:t>
      </w:r>
    </w:p>
    <w:p w14:paraId="00B936B1" w14:textId="77777777" w:rsidR="002E541F" w:rsidRPr="0095438C" w:rsidRDefault="002E541F" w:rsidP="002E541F">
      <w:pPr>
        <w:spacing w:after="0" w:line="480" w:lineRule="auto"/>
        <w:jc w:val="both"/>
        <w:rPr>
          <w:rStyle w:val="Textoennegrita"/>
          <w:rFonts w:ascii="Times New Roman" w:hAnsi="Times New Roman" w:cs="Times New Roman"/>
          <w:b w:val="0"/>
          <w:bCs w:val="0"/>
          <w:lang w:val="en-US"/>
        </w:rPr>
      </w:pPr>
      <w:r w:rsidRPr="00CF1C1E">
        <w:rPr>
          <w:rFonts w:ascii="Times New Roman" w:hAnsi="Times New Roman" w:cs="Times New Roman"/>
          <w:b/>
          <w:bCs/>
          <w:lang w:val="en-US"/>
        </w:rPr>
        <w:t>Methods</w:t>
      </w:r>
      <w:r w:rsidRPr="00C20326">
        <w:rPr>
          <w:rFonts w:ascii="Times New Roman" w:hAnsi="Times New Roman" w:cs="Times New Roman"/>
          <w:b/>
          <w:bCs/>
          <w:lang w:val="en-US"/>
        </w:rPr>
        <w:t>:</w:t>
      </w:r>
      <w:r>
        <w:rPr>
          <w:rFonts w:ascii="Times New Roman" w:hAnsi="Times New Roman" w:cs="Times New Roman"/>
          <w:b/>
          <w:bCs/>
          <w:lang w:val="en-US"/>
        </w:rPr>
        <w:t xml:space="preserve"> </w:t>
      </w:r>
      <w:r>
        <w:rPr>
          <w:rFonts w:ascii="Times New Roman" w:hAnsi="Times New Roman" w:cs="Times New Roman"/>
          <w:lang w:val="en-US"/>
        </w:rPr>
        <w:t>A</w:t>
      </w:r>
      <w:r>
        <w:rPr>
          <w:rStyle w:val="Textoennegrita"/>
          <w:rFonts w:ascii="Times New Roman" w:hAnsi="Times New Roman" w:cs="Times New Roman"/>
          <w:b w:val="0"/>
          <w:lang w:val="en-US"/>
        </w:rPr>
        <w:t xml:space="preserve">rticles </w:t>
      </w:r>
      <w:r w:rsidRPr="00941DA4">
        <w:rPr>
          <w:rStyle w:val="Textoennegrita"/>
          <w:rFonts w:ascii="Times New Roman" w:hAnsi="Times New Roman" w:cs="Times New Roman"/>
          <w:b w:val="0"/>
          <w:lang w:val="en-US"/>
        </w:rPr>
        <w:t xml:space="preserve">were identified by searching </w:t>
      </w:r>
      <w:r>
        <w:rPr>
          <w:rStyle w:val="Textoennegrita"/>
          <w:rFonts w:ascii="Times New Roman" w:hAnsi="Times New Roman" w:cs="Times New Roman"/>
          <w:b w:val="0"/>
          <w:lang w:val="en-US"/>
        </w:rPr>
        <w:t>PubMed</w:t>
      </w:r>
      <w:r w:rsidRPr="00941DA4">
        <w:rPr>
          <w:rStyle w:val="Textoennegrita"/>
          <w:rFonts w:ascii="Times New Roman" w:hAnsi="Times New Roman" w:cs="Times New Roman"/>
          <w:b w:val="0"/>
          <w:vertAlign w:val="superscript"/>
          <w:lang w:val="en-US"/>
        </w:rPr>
        <w:t>®</w:t>
      </w:r>
      <w:r w:rsidRPr="00941DA4">
        <w:rPr>
          <w:rStyle w:val="Textoennegrita"/>
          <w:rFonts w:ascii="Times New Roman" w:hAnsi="Times New Roman" w:cs="Times New Roman"/>
          <w:b w:val="0"/>
          <w:lang w:val="en-US"/>
        </w:rPr>
        <w:t xml:space="preserve"> and Embase</w:t>
      </w:r>
      <w:r w:rsidRPr="00941DA4">
        <w:rPr>
          <w:rStyle w:val="Textoennegrita"/>
          <w:rFonts w:ascii="Times New Roman" w:hAnsi="Times New Roman" w:cs="Times New Roman"/>
          <w:b w:val="0"/>
          <w:vertAlign w:val="superscript"/>
          <w:lang w:val="en-US"/>
        </w:rPr>
        <w:t>®</w:t>
      </w:r>
      <w:r w:rsidRPr="00941DA4">
        <w:rPr>
          <w:rStyle w:val="Textoennegrita"/>
          <w:rFonts w:ascii="Times New Roman" w:hAnsi="Times New Roman" w:cs="Times New Roman"/>
          <w:b w:val="0"/>
          <w:lang w:val="en-US"/>
        </w:rPr>
        <w:t xml:space="preserve"> </w:t>
      </w:r>
      <w:r>
        <w:rPr>
          <w:rStyle w:val="Textoennegrita"/>
          <w:rFonts w:ascii="Times New Roman" w:hAnsi="Times New Roman" w:cs="Times New Roman"/>
          <w:b w:val="0"/>
          <w:lang w:val="en-US"/>
        </w:rPr>
        <w:t xml:space="preserve">for </w:t>
      </w:r>
      <w:r w:rsidRPr="00941DA4">
        <w:rPr>
          <w:rStyle w:val="Textoennegrita"/>
          <w:rFonts w:ascii="Times New Roman" w:hAnsi="Times New Roman" w:cs="Times New Roman"/>
          <w:b w:val="0"/>
          <w:lang w:val="en-US"/>
        </w:rPr>
        <w:t xml:space="preserve">observational trials studying the </w:t>
      </w:r>
      <w:r>
        <w:rPr>
          <w:rStyle w:val="Textoennegrita"/>
          <w:rFonts w:ascii="Times New Roman" w:hAnsi="Times New Roman" w:cs="Times New Roman"/>
          <w:b w:val="0"/>
          <w:lang w:val="en-US"/>
        </w:rPr>
        <w:t>effectiveness</w:t>
      </w:r>
      <w:r w:rsidRPr="00941DA4">
        <w:rPr>
          <w:rStyle w:val="Textoennegrita"/>
          <w:rFonts w:ascii="Times New Roman" w:hAnsi="Times New Roman" w:cs="Times New Roman"/>
          <w:b w:val="0"/>
          <w:lang w:val="en-US"/>
        </w:rPr>
        <w:t xml:space="preserve"> of tapentadol for pain management in adults</w:t>
      </w:r>
      <w:r>
        <w:rPr>
          <w:rStyle w:val="Textoennegrita"/>
          <w:rFonts w:ascii="Times New Roman" w:hAnsi="Times New Roman" w:cs="Times New Roman"/>
          <w:b w:val="0"/>
          <w:lang w:val="en-US"/>
        </w:rPr>
        <w:t>,</w:t>
      </w:r>
      <w:r w:rsidRPr="00941DA4">
        <w:rPr>
          <w:rStyle w:val="Textoennegrita"/>
          <w:rFonts w:ascii="Times New Roman" w:hAnsi="Times New Roman" w:cs="Times New Roman"/>
          <w:b w:val="0"/>
          <w:lang w:val="en-US"/>
        </w:rPr>
        <w:t xml:space="preserve"> published </w:t>
      </w:r>
      <w:r>
        <w:rPr>
          <w:rStyle w:val="Textoennegrita"/>
          <w:rFonts w:ascii="Times New Roman" w:hAnsi="Times New Roman" w:cs="Times New Roman"/>
          <w:b w:val="0"/>
          <w:lang w:val="en-US"/>
        </w:rPr>
        <w:t xml:space="preserve">full-text in English or Spanish, </w:t>
      </w:r>
      <w:r w:rsidRPr="00941DA4">
        <w:rPr>
          <w:rStyle w:val="Textoennegrita"/>
          <w:rFonts w:ascii="Times New Roman" w:hAnsi="Times New Roman" w:cs="Times New Roman"/>
          <w:b w:val="0"/>
          <w:lang w:val="en-US"/>
        </w:rPr>
        <w:t xml:space="preserve">between 2008 </w:t>
      </w:r>
      <w:r>
        <w:rPr>
          <w:rStyle w:val="Textoennegrita"/>
          <w:rFonts w:ascii="Times New Roman" w:hAnsi="Times New Roman" w:cs="Times New Roman"/>
          <w:b w:val="0"/>
          <w:lang w:val="en-US"/>
        </w:rPr>
        <w:t>and</w:t>
      </w:r>
      <w:r w:rsidRPr="00941DA4">
        <w:rPr>
          <w:rStyle w:val="Textoennegrita"/>
          <w:rFonts w:ascii="Times New Roman" w:hAnsi="Times New Roman" w:cs="Times New Roman"/>
          <w:b w:val="0"/>
          <w:lang w:val="en-US"/>
        </w:rPr>
        <w:t xml:space="preserve"> 2018</w:t>
      </w:r>
      <w:r>
        <w:rPr>
          <w:rStyle w:val="Textoennegrita"/>
          <w:rFonts w:ascii="Times New Roman" w:hAnsi="Times New Roman" w:cs="Times New Roman"/>
          <w:b w:val="0"/>
          <w:lang w:val="en-US"/>
        </w:rPr>
        <w:t xml:space="preserve">. The search was limited to studies which specified </w:t>
      </w:r>
      <w:r w:rsidRPr="00941DA4">
        <w:rPr>
          <w:rStyle w:val="Textoennegrita"/>
          <w:rFonts w:ascii="Times New Roman" w:hAnsi="Times New Roman" w:cs="Times New Roman"/>
          <w:b w:val="0"/>
          <w:bCs w:val="0"/>
          <w:lang w:val="en-US"/>
        </w:rPr>
        <w:t xml:space="preserve">tapentadol </w:t>
      </w:r>
      <w:r>
        <w:rPr>
          <w:rStyle w:val="Textoennegrita"/>
          <w:rFonts w:ascii="Times New Roman" w:hAnsi="Times New Roman" w:cs="Times New Roman"/>
          <w:b w:val="0"/>
          <w:bCs w:val="0"/>
          <w:lang w:val="en-US"/>
        </w:rPr>
        <w:t xml:space="preserve">dose and assessed </w:t>
      </w:r>
      <w:r w:rsidRPr="00941DA4">
        <w:rPr>
          <w:rStyle w:val="Textoennegrita"/>
          <w:rFonts w:ascii="Times New Roman" w:hAnsi="Times New Roman" w:cs="Times New Roman"/>
          <w:b w:val="0"/>
          <w:bCs w:val="0"/>
          <w:lang w:val="en-US"/>
        </w:rPr>
        <w:t>analgesia.</w:t>
      </w:r>
    </w:p>
    <w:p w14:paraId="5C73DB12" w14:textId="77777777" w:rsidR="002E541F" w:rsidRDefault="002E541F" w:rsidP="002E541F">
      <w:pPr>
        <w:spacing w:after="0" w:line="480" w:lineRule="auto"/>
        <w:jc w:val="both"/>
        <w:rPr>
          <w:rFonts w:ascii="Times New Roman" w:hAnsi="Times New Roman" w:cs="Times New Roman"/>
          <w:lang w:val="en-US"/>
        </w:rPr>
      </w:pPr>
      <w:r w:rsidRPr="00C20326">
        <w:rPr>
          <w:rFonts w:ascii="Times New Roman" w:hAnsi="Times New Roman" w:cs="Times New Roman"/>
          <w:b/>
          <w:bCs/>
          <w:lang w:val="en-US"/>
        </w:rPr>
        <w:t>Results:</w:t>
      </w:r>
      <w:r>
        <w:rPr>
          <w:rFonts w:ascii="Times New Roman" w:hAnsi="Times New Roman" w:cs="Times New Roman"/>
          <w:b/>
          <w:bCs/>
          <w:lang w:val="en-US"/>
        </w:rPr>
        <w:t xml:space="preserve"> </w:t>
      </w:r>
      <w:r>
        <w:rPr>
          <w:rFonts w:ascii="Times New Roman" w:hAnsi="Times New Roman" w:cs="Times New Roman"/>
          <w:lang w:val="en-US"/>
        </w:rPr>
        <w:t xml:space="preserve">Fourteen </w:t>
      </w:r>
      <w:r w:rsidRPr="00941DA4">
        <w:rPr>
          <w:rFonts w:ascii="Times New Roman" w:hAnsi="Times New Roman" w:cs="Times New Roman"/>
          <w:lang w:val="en-US"/>
        </w:rPr>
        <w:t xml:space="preserve">studies were </w:t>
      </w:r>
      <w:r>
        <w:rPr>
          <w:rFonts w:ascii="Times New Roman" w:hAnsi="Times New Roman" w:cs="Times New Roman"/>
          <w:lang w:val="en-US"/>
        </w:rPr>
        <w:t>included. P</w:t>
      </w:r>
      <w:r w:rsidRPr="00941DA4">
        <w:rPr>
          <w:rFonts w:ascii="Times New Roman" w:hAnsi="Times New Roman" w:cs="Times New Roman"/>
          <w:lang w:val="en-US"/>
        </w:rPr>
        <w:t xml:space="preserve">articipants were adults presenting </w:t>
      </w:r>
      <w:r>
        <w:rPr>
          <w:rFonts w:ascii="Times New Roman" w:hAnsi="Times New Roman" w:cs="Times New Roman"/>
          <w:lang w:val="en-US"/>
        </w:rPr>
        <w:t xml:space="preserve">chronic non-cancer </w:t>
      </w:r>
      <w:r w:rsidRPr="00941DA4">
        <w:rPr>
          <w:rFonts w:ascii="Times New Roman" w:hAnsi="Times New Roman" w:cs="Times New Roman"/>
          <w:lang w:val="en-US"/>
        </w:rPr>
        <w:t>or cancer-related pain of multiple etiologies</w:t>
      </w:r>
      <w:r>
        <w:rPr>
          <w:rFonts w:ascii="Times New Roman" w:hAnsi="Times New Roman" w:cs="Times New Roman"/>
          <w:lang w:val="en-US"/>
        </w:rPr>
        <w:t>,</w:t>
      </w:r>
      <w:r w:rsidRPr="00941DA4">
        <w:rPr>
          <w:rFonts w:ascii="Times New Roman" w:hAnsi="Times New Roman" w:cs="Times New Roman"/>
          <w:lang w:val="en-US"/>
        </w:rPr>
        <w:t xml:space="preserve"> with multiple comorbidities, </w:t>
      </w:r>
      <w:r>
        <w:rPr>
          <w:rFonts w:ascii="Times New Roman" w:hAnsi="Times New Roman" w:cs="Times New Roman"/>
          <w:lang w:val="en-US"/>
        </w:rPr>
        <w:t xml:space="preserve">which </w:t>
      </w:r>
      <w:r w:rsidRPr="00941DA4">
        <w:rPr>
          <w:rFonts w:ascii="Times New Roman" w:hAnsi="Times New Roman" w:cs="Times New Roman"/>
          <w:lang w:val="en-US"/>
        </w:rPr>
        <w:t>had been treated with opioids.</w:t>
      </w:r>
      <w:r>
        <w:rPr>
          <w:rFonts w:ascii="Times New Roman" w:hAnsi="Times New Roman" w:cs="Times New Roman"/>
          <w:lang w:val="en-US"/>
        </w:rPr>
        <w:t xml:space="preserve"> Most of t</w:t>
      </w:r>
      <w:r w:rsidRPr="00941DA4">
        <w:rPr>
          <w:rFonts w:ascii="Times New Roman" w:hAnsi="Times New Roman" w:cs="Times New Roman"/>
          <w:lang w:val="en-US"/>
        </w:rPr>
        <w:t>hese studies prescribed initial doses of tapentadol from ≥100 mg/day to &lt;150 mg/day</w:t>
      </w:r>
      <w:r>
        <w:rPr>
          <w:rFonts w:ascii="Times New Roman" w:hAnsi="Times New Roman" w:cs="Times New Roman"/>
          <w:lang w:val="en-US"/>
        </w:rPr>
        <w:t>,</w:t>
      </w:r>
      <w:r w:rsidRPr="00941DA4">
        <w:rPr>
          <w:rFonts w:ascii="Times New Roman" w:hAnsi="Times New Roman" w:cs="Times New Roman"/>
          <w:lang w:val="en-US"/>
        </w:rPr>
        <w:t xml:space="preserve"> up-titrated to </w:t>
      </w:r>
      <w:r>
        <w:rPr>
          <w:rFonts w:ascii="Times New Roman" w:hAnsi="Times New Roman" w:cs="Times New Roman"/>
          <w:lang w:val="en-US"/>
        </w:rPr>
        <w:t>a median of 213.6 [57.7] mg/day</w:t>
      </w:r>
      <w:r w:rsidRPr="00941DA4">
        <w:rPr>
          <w:rFonts w:ascii="Times New Roman" w:hAnsi="Times New Roman" w:cs="Times New Roman"/>
          <w:lang w:val="en-US"/>
        </w:rPr>
        <w:t>.</w:t>
      </w:r>
      <w:r>
        <w:rPr>
          <w:rFonts w:ascii="Times New Roman" w:hAnsi="Times New Roman" w:cs="Times New Roman"/>
          <w:lang w:val="en-US"/>
        </w:rPr>
        <w:t xml:space="preserve"> </w:t>
      </w:r>
      <w:r w:rsidRPr="00591C9E">
        <w:rPr>
          <w:rFonts w:ascii="Times New Roman" w:hAnsi="Times New Roman" w:cs="Times New Roman"/>
          <w:lang w:val="en-US"/>
        </w:rPr>
        <w:t>All studies showed significant reduction</w:t>
      </w:r>
      <w:r>
        <w:rPr>
          <w:rFonts w:ascii="Times New Roman" w:hAnsi="Times New Roman" w:cs="Times New Roman"/>
          <w:lang w:val="en-US"/>
        </w:rPr>
        <w:t>s</w:t>
      </w:r>
      <w:r w:rsidRPr="00591C9E">
        <w:rPr>
          <w:rFonts w:ascii="Times New Roman" w:hAnsi="Times New Roman" w:cs="Times New Roman"/>
          <w:lang w:val="en-US"/>
        </w:rPr>
        <w:t xml:space="preserve"> of pain intensity throughout the observation period</w:t>
      </w:r>
      <w:r>
        <w:rPr>
          <w:rFonts w:ascii="Times New Roman" w:hAnsi="Times New Roman" w:cs="Times New Roman"/>
          <w:lang w:val="en-US"/>
        </w:rPr>
        <w:t xml:space="preserve"> compared to baseline. Moreover, </w:t>
      </w:r>
      <w:r>
        <w:rPr>
          <w:rFonts w:ascii="Times New Roman" w:hAnsi="Times New Roman" w:cs="Times New Roman"/>
          <w:lang w:val="en-US"/>
        </w:rPr>
        <w:lastRenderedPageBreak/>
        <w:t>all studies showed</w:t>
      </w:r>
      <w:r w:rsidRPr="00941DA4">
        <w:rPr>
          <w:rFonts w:ascii="Times New Roman" w:hAnsi="Times New Roman" w:cs="Times New Roman"/>
          <w:lang w:val="en-US"/>
        </w:rPr>
        <w:t xml:space="preserve"> an improvement of quality of life </w:t>
      </w:r>
      <w:r>
        <w:rPr>
          <w:rFonts w:ascii="Times New Roman" w:hAnsi="Times New Roman" w:cs="Times New Roman"/>
          <w:lang w:val="en-US"/>
        </w:rPr>
        <w:t xml:space="preserve">at the end of </w:t>
      </w:r>
      <w:r w:rsidRPr="00941DA4">
        <w:rPr>
          <w:rFonts w:ascii="Times New Roman" w:hAnsi="Times New Roman" w:cs="Times New Roman"/>
          <w:lang w:val="en-US"/>
        </w:rPr>
        <w:t xml:space="preserve">the </w:t>
      </w:r>
      <w:r>
        <w:rPr>
          <w:rFonts w:ascii="Times New Roman" w:hAnsi="Times New Roman" w:cs="Times New Roman"/>
          <w:lang w:val="en-US"/>
        </w:rPr>
        <w:t xml:space="preserve">observation period compared to baseline. </w:t>
      </w:r>
    </w:p>
    <w:p w14:paraId="63A83946" w14:textId="2EA800D7" w:rsidR="002E541F" w:rsidRDefault="002E541F" w:rsidP="002E541F">
      <w:pPr>
        <w:spacing w:after="0" w:line="480" w:lineRule="auto"/>
        <w:jc w:val="both"/>
        <w:rPr>
          <w:rFonts w:ascii="Times New Roman" w:hAnsi="Times New Roman" w:cs="Times New Roman"/>
          <w:iCs/>
          <w:lang w:val="en-US"/>
        </w:rPr>
      </w:pPr>
      <w:r w:rsidRPr="00C20326">
        <w:rPr>
          <w:rFonts w:ascii="Times New Roman" w:hAnsi="Times New Roman" w:cs="Times New Roman"/>
          <w:b/>
          <w:bCs/>
          <w:lang w:val="en-US"/>
        </w:rPr>
        <w:t>Conclusions:</w:t>
      </w:r>
      <w:r>
        <w:rPr>
          <w:rFonts w:ascii="Times New Roman" w:hAnsi="Times New Roman" w:cs="Times New Roman"/>
          <w:b/>
          <w:bCs/>
          <w:lang w:val="en-US"/>
        </w:rPr>
        <w:t xml:space="preserve"> </w:t>
      </w:r>
      <w:r>
        <w:rPr>
          <w:rFonts w:ascii="Times New Roman" w:hAnsi="Times New Roman" w:cs="Times New Roman"/>
          <w:lang w:val="en-US"/>
        </w:rPr>
        <w:t>F</w:t>
      </w:r>
      <w:r w:rsidRPr="00941DA4">
        <w:rPr>
          <w:rFonts w:ascii="Times New Roman" w:hAnsi="Times New Roman" w:cs="Times New Roman"/>
          <w:lang w:val="en-US"/>
        </w:rPr>
        <w:t xml:space="preserve">indings </w:t>
      </w:r>
      <w:r>
        <w:rPr>
          <w:rFonts w:ascii="Times New Roman" w:hAnsi="Times New Roman" w:cs="Times New Roman"/>
          <w:lang w:val="en-US"/>
        </w:rPr>
        <w:t xml:space="preserve">from </w:t>
      </w:r>
      <w:r w:rsidRPr="00941DA4">
        <w:rPr>
          <w:rFonts w:ascii="Times New Roman" w:hAnsi="Times New Roman" w:cs="Times New Roman"/>
          <w:lang w:val="en-US"/>
        </w:rPr>
        <w:t xml:space="preserve">routine clinical practice </w:t>
      </w:r>
      <w:r>
        <w:rPr>
          <w:rFonts w:ascii="Times New Roman" w:hAnsi="Times New Roman" w:cs="Times New Roman"/>
          <w:lang w:val="en-US"/>
        </w:rPr>
        <w:t>show</w:t>
      </w:r>
      <w:r w:rsidRPr="00941DA4">
        <w:rPr>
          <w:rFonts w:ascii="Times New Roman" w:hAnsi="Times New Roman" w:cs="Times New Roman"/>
          <w:lang w:val="en-US"/>
        </w:rPr>
        <w:t xml:space="preserve"> </w:t>
      </w:r>
      <w:r>
        <w:rPr>
          <w:rFonts w:ascii="Times New Roman" w:hAnsi="Times New Roman" w:cs="Times New Roman"/>
          <w:lang w:val="en-US"/>
        </w:rPr>
        <w:t xml:space="preserve">that prescribed doses of </w:t>
      </w:r>
      <w:r w:rsidRPr="00941DA4">
        <w:rPr>
          <w:rFonts w:ascii="Times New Roman" w:hAnsi="Times New Roman" w:cs="Times New Roman"/>
          <w:lang w:val="en-US"/>
        </w:rPr>
        <w:t>tapentadol</w:t>
      </w:r>
      <w:r>
        <w:rPr>
          <w:rFonts w:ascii="Times New Roman" w:hAnsi="Times New Roman" w:cs="Times New Roman"/>
          <w:lang w:val="en-US"/>
        </w:rPr>
        <w:t xml:space="preserve"> are, on average, below 300mg/day; being considered an effective and </w:t>
      </w:r>
      <w:r w:rsidR="00540B76">
        <w:rPr>
          <w:rFonts w:ascii="Times New Roman" w:hAnsi="Times New Roman" w:cs="Times New Roman"/>
          <w:lang w:val="en-US"/>
        </w:rPr>
        <w:t>overall</w:t>
      </w:r>
      <w:r w:rsidR="00761D01">
        <w:rPr>
          <w:rFonts w:ascii="Times New Roman" w:hAnsi="Times New Roman" w:cs="Times New Roman"/>
          <w:lang w:val="en-US"/>
        </w:rPr>
        <w:t xml:space="preserve"> well</w:t>
      </w:r>
      <w:r w:rsidR="00FC0BD7">
        <w:rPr>
          <w:rFonts w:ascii="Times New Roman" w:hAnsi="Times New Roman" w:cs="Times New Roman"/>
          <w:lang w:val="en-US"/>
        </w:rPr>
        <w:t>-</w:t>
      </w:r>
      <w:r w:rsidR="00761D01">
        <w:rPr>
          <w:rFonts w:ascii="Times New Roman" w:hAnsi="Times New Roman" w:cs="Times New Roman"/>
          <w:lang w:val="en-US"/>
        </w:rPr>
        <w:t xml:space="preserve">tolerated </w:t>
      </w:r>
      <w:r>
        <w:rPr>
          <w:rFonts w:ascii="Times New Roman" w:hAnsi="Times New Roman" w:cs="Times New Roman"/>
          <w:lang w:val="en-US"/>
        </w:rPr>
        <w:t xml:space="preserve">treatment for severe chronic </w:t>
      </w:r>
      <w:r w:rsidRPr="00941DA4">
        <w:rPr>
          <w:rFonts w:ascii="Times New Roman" w:hAnsi="Times New Roman" w:cs="Times New Roman"/>
          <w:lang w:val="en-US"/>
        </w:rPr>
        <w:t xml:space="preserve">pain management in </w:t>
      </w:r>
      <w:r w:rsidR="00FC0BD7">
        <w:rPr>
          <w:rFonts w:ascii="Times New Roman" w:hAnsi="Times New Roman" w:cs="Times New Roman"/>
          <w:lang w:val="en-US"/>
        </w:rPr>
        <w:t xml:space="preserve">patients with </w:t>
      </w:r>
      <w:r>
        <w:rPr>
          <w:rFonts w:ascii="Times New Roman" w:hAnsi="Times New Roman" w:cs="Times New Roman"/>
          <w:lang w:val="en-US"/>
        </w:rPr>
        <w:t xml:space="preserve">non-cancer and cancer-related pain </w:t>
      </w:r>
      <w:r w:rsidR="00FC0BD7">
        <w:rPr>
          <w:rFonts w:ascii="Times New Roman" w:hAnsi="Times New Roman" w:cs="Times New Roman"/>
          <w:lang w:val="en-US"/>
        </w:rPr>
        <w:t xml:space="preserve">requiring </w:t>
      </w:r>
      <w:r w:rsidR="00761D01">
        <w:rPr>
          <w:rFonts w:ascii="Times New Roman" w:hAnsi="Times New Roman" w:cs="Times New Roman"/>
          <w:lang w:val="en-US"/>
        </w:rPr>
        <w:t>a strong</w:t>
      </w:r>
      <w:r>
        <w:rPr>
          <w:rFonts w:ascii="Times New Roman" w:hAnsi="Times New Roman" w:cs="Times New Roman"/>
          <w:lang w:val="en-US"/>
        </w:rPr>
        <w:t xml:space="preserve"> opioid</w:t>
      </w:r>
      <w:r w:rsidR="00FC0BD7">
        <w:rPr>
          <w:rFonts w:ascii="Times New Roman" w:hAnsi="Times New Roman" w:cs="Times New Roman"/>
          <w:lang w:val="en-US"/>
        </w:rPr>
        <w:t>, according to healthcare professionals</w:t>
      </w:r>
      <w:r w:rsidR="00B925CF">
        <w:rPr>
          <w:rFonts w:ascii="Times New Roman" w:hAnsi="Times New Roman" w:cs="Times New Roman"/>
          <w:lang w:val="en-US"/>
        </w:rPr>
        <w:t>’ criteria</w:t>
      </w:r>
      <w:r>
        <w:rPr>
          <w:rFonts w:ascii="Times New Roman" w:hAnsi="Times New Roman" w:cs="Times New Roman"/>
          <w:lang w:val="en-US"/>
        </w:rPr>
        <w:t>. P</w:t>
      </w:r>
      <w:r w:rsidRPr="00941DA4">
        <w:rPr>
          <w:rFonts w:ascii="Times New Roman" w:hAnsi="Times New Roman" w:cs="Times New Roman"/>
          <w:iCs/>
          <w:lang w:val="en-US"/>
        </w:rPr>
        <w:t>ragmatic studies of high methodological quality are encouraged</w:t>
      </w:r>
      <w:r w:rsidRPr="00941DA4" w:rsidDel="00E03437">
        <w:rPr>
          <w:rFonts w:ascii="Times New Roman" w:hAnsi="Times New Roman" w:cs="Times New Roman"/>
          <w:iCs/>
          <w:lang w:val="en-US"/>
        </w:rPr>
        <w:t xml:space="preserve"> </w:t>
      </w:r>
      <w:r>
        <w:rPr>
          <w:rFonts w:ascii="Times New Roman" w:hAnsi="Times New Roman" w:cs="Times New Roman"/>
          <w:iCs/>
          <w:lang w:val="en-US"/>
        </w:rPr>
        <w:t>to</w:t>
      </w:r>
      <w:r w:rsidRPr="00941DA4">
        <w:rPr>
          <w:rFonts w:ascii="Times New Roman" w:hAnsi="Times New Roman" w:cs="Times New Roman"/>
          <w:iCs/>
          <w:lang w:val="en-US"/>
        </w:rPr>
        <w:t xml:space="preserve"> confirm </w:t>
      </w:r>
      <w:r>
        <w:rPr>
          <w:rFonts w:ascii="Times New Roman" w:hAnsi="Times New Roman" w:cs="Times New Roman"/>
          <w:iCs/>
          <w:lang w:val="en-US"/>
        </w:rPr>
        <w:t xml:space="preserve">the results of clinical trials regarding </w:t>
      </w:r>
      <w:proofErr w:type="spellStart"/>
      <w:r>
        <w:rPr>
          <w:rFonts w:ascii="Times New Roman" w:hAnsi="Times New Roman" w:cs="Times New Roman"/>
          <w:iCs/>
          <w:lang w:val="en-US"/>
        </w:rPr>
        <w:t>tapentadol’</w:t>
      </w:r>
      <w:r w:rsidRPr="00941DA4">
        <w:rPr>
          <w:rFonts w:ascii="Times New Roman" w:hAnsi="Times New Roman" w:cs="Times New Roman"/>
          <w:iCs/>
          <w:lang w:val="en-US"/>
        </w:rPr>
        <w:t>s</w:t>
      </w:r>
      <w:proofErr w:type="spellEnd"/>
      <w:r w:rsidRPr="00941DA4">
        <w:rPr>
          <w:rFonts w:ascii="Times New Roman" w:hAnsi="Times New Roman" w:cs="Times New Roman"/>
          <w:iCs/>
          <w:lang w:val="en-US"/>
        </w:rPr>
        <w:t xml:space="preserve"> benefit</w:t>
      </w:r>
      <w:r>
        <w:rPr>
          <w:rFonts w:ascii="Times New Roman" w:hAnsi="Times New Roman" w:cs="Times New Roman"/>
          <w:iCs/>
          <w:lang w:val="en-US"/>
        </w:rPr>
        <w:t>s</w:t>
      </w:r>
      <w:r w:rsidRPr="00941DA4">
        <w:rPr>
          <w:rFonts w:ascii="Times New Roman" w:hAnsi="Times New Roman" w:cs="Times New Roman"/>
          <w:iCs/>
          <w:lang w:val="en-US"/>
        </w:rPr>
        <w:t xml:space="preserve"> in terms of function and quality of life.</w:t>
      </w:r>
    </w:p>
    <w:p w14:paraId="47AA21C6" w14:textId="77777777" w:rsidR="002E541F" w:rsidRPr="00941DA4" w:rsidRDefault="002E541F" w:rsidP="002E541F">
      <w:pPr>
        <w:spacing w:after="0" w:line="480" w:lineRule="auto"/>
        <w:jc w:val="both"/>
        <w:rPr>
          <w:rFonts w:ascii="Times New Roman" w:hAnsi="Times New Roman" w:cs="Times New Roman"/>
          <w:lang w:val="en-US"/>
        </w:rPr>
      </w:pPr>
      <w:r w:rsidRPr="001340FB">
        <w:rPr>
          <w:rFonts w:ascii="Times New Roman" w:hAnsi="Times New Roman" w:cs="Times New Roman"/>
          <w:b/>
          <w:bCs/>
          <w:lang w:val="en-GB"/>
        </w:rPr>
        <w:t>Key words</w:t>
      </w:r>
      <w:r w:rsidRPr="002E33F8">
        <w:rPr>
          <w:rFonts w:ascii="Times New Roman" w:hAnsi="Times New Roman" w:cs="Times New Roman"/>
          <w:lang w:val="en-US"/>
        </w:rPr>
        <w:t>:</w:t>
      </w:r>
      <w:r>
        <w:rPr>
          <w:rFonts w:ascii="Times New Roman" w:hAnsi="Times New Roman" w:cs="Times New Roman"/>
          <w:lang w:val="en-US"/>
        </w:rPr>
        <w:t xml:space="preserve"> tapentadol, pain, </w:t>
      </w:r>
      <w:r w:rsidRPr="002E33F8">
        <w:rPr>
          <w:rFonts w:ascii="Times New Roman" w:hAnsi="Times New Roman" w:cs="Times New Roman"/>
          <w:lang w:val="en-US"/>
        </w:rPr>
        <w:t>chronic pain</w:t>
      </w:r>
    </w:p>
    <w:p w14:paraId="08CA94E9" w14:textId="77777777" w:rsidR="002E541F" w:rsidRPr="002E541F" w:rsidRDefault="002E541F" w:rsidP="00DD77CA">
      <w:pPr>
        <w:spacing w:after="0" w:line="480" w:lineRule="auto"/>
        <w:jc w:val="both"/>
        <w:rPr>
          <w:rFonts w:ascii="Times New Roman" w:hAnsi="Times New Roman" w:cs="Times New Roman"/>
          <w:lang w:val="en-US"/>
        </w:rPr>
      </w:pPr>
    </w:p>
    <w:p w14:paraId="32127431" w14:textId="77777777" w:rsidR="00CF1C1E" w:rsidRPr="00367BEC" w:rsidRDefault="00CF1C1E" w:rsidP="00DD77CA">
      <w:pPr>
        <w:spacing w:after="0" w:line="480" w:lineRule="auto"/>
        <w:jc w:val="both"/>
        <w:rPr>
          <w:rFonts w:cstheme="minorHAnsi"/>
          <w:b/>
          <w:bCs/>
        </w:rPr>
      </w:pPr>
      <w:bookmarkStart w:id="0" w:name="_Hlk50373136"/>
      <w:r w:rsidRPr="00367BEC">
        <w:rPr>
          <w:b/>
        </w:rPr>
        <w:t>INTRODUCCIÓN</w:t>
      </w:r>
    </w:p>
    <w:p w14:paraId="3B142CC4" w14:textId="7E34FC5D" w:rsidR="00AE7E51" w:rsidRPr="00367BEC" w:rsidRDefault="00A13EC6" w:rsidP="00DD77CA">
      <w:pPr>
        <w:spacing w:after="0" w:line="480" w:lineRule="auto"/>
        <w:jc w:val="both"/>
        <w:rPr>
          <w:rFonts w:ascii="Times New Roman" w:hAnsi="Times New Roman" w:cs="Times New Roman"/>
        </w:rPr>
      </w:pPr>
      <w:r w:rsidRPr="00367BEC">
        <w:rPr>
          <w:rFonts w:ascii="Times New Roman" w:hAnsi="Times New Roman"/>
        </w:rPr>
        <w:t xml:space="preserve">En el control del dolor, una de las </w:t>
      </w:r>
      <w:bookmarkStart w:id="1" w:name="_Hlk50373063"/>
      <w:r w:rsidRPr="00367BEC">
        <w:rPr>
          <w:rFonts w:ascii="Times New Roman" w:hAnsi="Times New Roman"/>
        </w:rPr>
        <w:t>opciones de tratamiento del dolor crónico intenso es el uso de opioides potentes</w:t>
      </w:r>
      <w:bookmarkEnd w:id="0"/>
      <w:r w:rsidR="00B925CF">
        <w:rPr>
          <w:rFonts w:ascii="Times New Roman" w:hAnsi="Times New Roman"/>
        </w:rPr>
        <w:t xml:space="preserve">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PybBzdq2","properties":{"formattedCitation":"(1)","plainCitation":"(1)","noteIndex":0},"citationItems":[{"id":44372,"uris":["http://zotero.org/groups/2141613/items/SF5RI3PV"],"uri":["http://zotero.org/groups/2141613/items/SF5RI3PV"],"itemData":{"id":44372,"type":"article-journal","abstract":"Tapentadol prolonged release (PR) for the treatment of moderate to severe chronic pain combines 2 modes of action. These are mu-opioid receptor agonism and noradrenaline reuptake inhibition in a single molecule that allow higher analgesic potency through modulation of different pharmacological targets within the pain transmitting systems. At the same time, this can also serve as a clue for modulation of different pain-generating mechanisms according to nociceptive, neuropathic, or mixed pain conditions. Tapentadol PR has now been on the market for 5 years, with over 4.6 million people treated worldwide. A panel of pain specialists convened in Germany to review the clinical program and to discuss the role of tapentadol PR in the management of chronic pain. The clinical study program demonstrated effective and generally well-tolerated treatment for up to 2 years in a broad range of chronic pain conditions, including those with neuropathic pain components. This was confirmed in routine clinical practice observations. Head-to-head studies with World Health Organization (WHO) III opioids such as oxycodone controlled release and oxycodone/naloxone PR showed at least comparable pain relief in the treatment of moderate-to-severe musculoskeletal pain. Rotation from poorly tolerated WHO III opioids to tapentadol PR provided effective pain relief and better symptom control for musculoskeletal pain compared to previous medication. Functionality, health status and quality of life also improved under tapentadol PR treatment. The gastrointestinal tolerability profile was more favorable compared to other tested WHO III opioids. Tapentadol PR has a good safety profile and no evidence of acquired tolerance from the long-term data so far collected. Overall, tapentadol PR represents an effective and generally well-tolerated alternative to \"classical\" opioidergic drugs.","archive_location":"27611642","container-title":"Pain Pract","DOI":"10.1111/papr.12515","ISSN":"1530-7085","issue":"5","journalAbbreviation":"Pain practice : the official journal of World Institute of Pain","language":"eng","page":"678-700","source":"Nlm","title":"Tapentadol Prolonged Release for Chronic Pain: A Review of Clinical Trials and 5 Years of Routine Clinical Practice Data","title-short":"Tapentadol Prolonged Release for Chronic Pain: A Review of Clinical Trials and 5 Years of Routine Clinical Practice Data","volume":"17","author":[{"family":"Baron","given":"Ralf"},{"family":"Eberhart","given":"L."},{"family":"Kern","given":"K. U."},{"family":"Regner","given":"S."},{"family":"Rolke","given":"R."},{"family":"Simanski","given":"C."},{"family":"Tolle","given":"T."}],"issued":{"date-parts":[["2016",6]]}}}],"schema":"https://github.com/citation-style-language/schema/raw/master/csl-citation.json"}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(1)</w:t>
      </w:r>
      <w:r w:rsidR="0008759E" w:rsidRPr="00367BEC">
        <w:rPr>
          <w:rFonts w:ascii="Times New Roman" w:hAnsi="Times New Roman" w:cs="Times New Roman"/>
        </w:rPr>
        <w:fldChar w:fldCharType="end"/>
      </w:r>
      <w:r w:rsidR="00761D01">
        <w:rPr>
          <w:rFonts w:ascii="Times New Roman" w:hAnsi="Times New Roman" w:cs="Times New Roman"/>
        </w:rPr>
        <w:t>, en aquellos pacientes en los que se requiere</w:t>
      </w:r>
      <w:r w:rsidRPr="00367BEC">
        <w:rPr>
          <w:rFonts w:ascii="Times New Roman" w:hAnsi="Times New Roman"/>
        </w:rPr>
        <w:t>. El tapentadol es un opioide potente que combina las propiedades agonistas del receptor μ (MOR) de los opioides con la inhibición de la recaptación de la noradrenalina (</w:t>
      </w:r>
      <w:r w:rsidR="00761D01">
        <w:rPr>
          <w:rFonts w:ascii="Times New Roman" w:hAnsi="Times New Roman"/>
        </w:rPr>
        <w:t>NRI</w:t>
      </w:r>
      <w:r w:rsidRPr="00367BEC">
        <w:rPr>
          <w:rFonts w:ascii="Times New Roman" w:hAnsi="Times New Roman"/>
        </w:rPr>
        <w:t xml:space="preserve">)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khtPsxKQ","properties":{"formattedCitation":"(2)","plainCitation":"(2)","noteIndex":0},"citationItems":[{"id":44394,"uris":["http://zotero.org/groups/2141613/items/JPS9V624"],"uri":["http://zotero.org/groups/2141613/items/JPS9V624"],"itemData":{"id":44394,"type":"article-journal","container-title":"European Journal of Pain","DOI":"10.1016/j.ejpain.2010.06.017","ISSN":"10903801","issue":"8","language":"en","page":"781-783","source":"DOI.org (Crossref)","title":"Tapentadol and its two mechanisms of action: Is there a new pharmacological class of centrally-acting analgesics on the horizon?","title-short":"Tapentadol and its two mechanisms of action","volume":"14","author":[{"family":"Kress","given":"Hans G."}],"issued":{"date-parts":[["2010",9]]}}}],"schema":"https://github.com/citation-style-language/schema/raw/master/csl-citation.json"}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(2)</w:t>
      </w:r>
      <w:r w:rsidR="0008759E" w:rsidRPr="00367BEC">
        <w:rPr>
          <w:rFonts w:ascii="Times New Roman" w:hAnsi="Times New Roman" w:cs="Times New Roman"/>
        </w:rPr>
        <w:fldChar w:fldCharType="end"/>
      </w:r>
      <w:r w:rsidRPr="00367BEC">
        <w:rPr>
          <w:rFonts w:ascii="Times New Roman" w:hAnsi="Times New Roman"/>
        </w:rPr>
        <w:t>. Este mecanismo de acción combinado MOR-</w:t>
      </w:r>
      <w:r w:rsidR="00761D01">
        <w:rPr>
          <w:rFonts w:ascii="Times New Roman" w:hAnsi="Times New Roman"/>
        </w:rPr>
        <w:t>NRI</w:t>
      </w:r>
      <w:r w:rsidR="00761D01" w:rsidRPr="00367BEC">
        <w:rPr>
          <w:rFonts w:ascii="Times New Roman" w:hAnsi="Times New Roman"/>
        </w:rPr>
        <w:t xml:space="preserve"> </w:t>
      </w:r>
      <w:r w:rsidRPr="00367BEC">
        <w:rPr>
          <w:rFonts w:ascii="Times New Roman" w:hAnsi="Times New Roman"/>
        </w:rPr>
        <w:t xml:space="preserve">permite una analgesia eficaz </w:t>
      </w:r>
      <w:r w:rsidR="00761D01">
        <w:rPr>
          <w:rFonts w:ascii="Times New Roman" w:hAnsi="Times New Roman"/>
        </w:rPr>
        <w:t>con menos</w:t>
      </w:r>
      <w:r w:rsidRPr="00367BEC">
        <w:rPr>
          <w:rFonts w:ascii="Times New Roman" w:hAnsi="Times New Roman"/>
        </w:rPr>
        <w:t xml:space="preserve"> </w:t>
      </w:r>
      <w:r w:rsidR="00761D01">
        <w:rPr>
          <w:rFonts w:ascii="Times New Roman" w:hAnsi="Times New Roman"/>
        </w:rPr>
        <w:t>reacciones adversas</w:t>
      </w:r>
      <w:r w:rsidRPr="00367BEC">
        <w:rPr>
          <w:rFonts w:ascii="Times New Roman" w:hAnsi="Times New Roman"/>
        </w:rPr>
        <w:t xml:space="preserve"> gastrointestinales causad</w:t>
      </w:r>
      <w:r w:rsidR="00761D01">
        <w:rPr>
          <w:rFonts w:ascii="Times New Roman" w:hAnsi="Times New Roman"/>
        </w:rPr>
        <w:t>a</w:t>
      </w:r>
      <w:r w:rsidRPr="00367BEC">
        <w:rPr>
          <w:rFonts w:ascii="Times New Roman" w:hAnsi="Times New Roman"/>
        </w:rPr>
        <w:t xml:space="preserve">s por los opioides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sN3754mG","properties":{"formattedCitation":"(2,3)","plainCitation":"(2,3)","noteIndex":0},"citationItems":[{"id":44394,"uris":["http://zotero.org/groups/2141613/items/JPS9V624"],"uri":["http://zotero.org/groups/2141613/items/JPS9V624"],"itemData":{"id":44394,"type":"article-journal","container-title":"European Journal of Pain","DOI":"10.1016/j.ejpain.2010.06.017","ISSN":"10903801","issue":"8","language":"en","page":"781-783","source":"DOI.org (Crossref)","title":"Tapentadol and its two mechanisms of action: Is there a new pharmacological class of centrally-acting analgesics on the horizon?","title-short":"Tapentadol and its two mechanisms of action","volume":"14","author":[{"family":"Kress","given":"Hans G."}],"issued":{"date-parts":[["2010",9]]}},"label":"page"},{"id":43032,"uris":["http://zotero.org/groups/2141613/items/G3TLPKV5"],"uri":["http://zotero.org/groups/2141613/items/G3TLPKV5"],"itemData":{"id":43032,"type":"article-journal","abstract":"INTRODUCTION: Tapentadol is a centrally acting analgesic that has been available for the management of acute and chronic pain in routine clinical practice since 2009. METHODS: This is the first integrated descriptive analysis of post-marketing safety data following the use of tapentadol in a broad range of pain conditions relating to the topics overall safety, dose administration above approved dosages, administration during pregnancy, serotonin syndrome, respiratory depression, and convulsion. The data analyzed pertain to spontaneous reports from healthcare and non-healthcare professionals and were put in the context of safety information known from interventional and non-interventional trials. RESULTS: The first years of routine clinical practice experience with tapentadol have confirmed the tolerability profile that emerged from the clinical trials. Moreover, the reporting of expected side effects such as respiratory depression and convulsion was low and no major risks were identified. The evaluation of available post-marketing data did not confirm the theoretical risk of serotonin syndrome nor did it reveal unexpected side effects with administration of higher than recommended doses. CONCLUSION: More than 8 years after its first introduction, the favorable overall safety profile of tapentadol in the treatment of various pain conditions is maintained in the general population. FUNDING: Grunenthal GmbH.","archive_location":"29270779","container-title":"Adv Ther","DOI":"10.1007/s12325-017-0654-0","ISSN":"0741-238x","issue":"1","journalAbbreviation":"Advances in therapy","language":"eng","page":"12-30","source":"Nlm","title":"Review of Post-Marketing Safety Data on Tapentadol, a Centrally Acting Analgesic","title-short":"Review of Post-Marketing Safety Data on Tapentadol, a Centrally Acting Analgesic","volume":"35","author":[{"family":"Stollenwerk","given":"A."},{"family":"Sohns","given":"M."},{"family":"Heisig","given":"F."},{"family":"Elling","given":"C."},{"family":"Zabern","given":"D.","non-dropping-particle":"von"}],"issued":{"date-parts":[["2017",1]]}},"label":"page"}],"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(2,3)</w:t>
      </w:r>
      <w:r w:rsidR="0008759E" w:rsidRPr="00367BEC">
        <w:rPr>
          <w:rFonts w:ascii="Times New Roman" w:hAnsi="Times New Roman" w:cs="Times New Roman"/>
        </w:rPr>
        <w:fldChar w:fldCharType="end"/>
      </w:r>
      <w:r w:rsidRPr="00367BEC">
        <w:rPr>
          <w:rFonts w:ascii="Times New Roman" w:hAnsi="Times New Roman"/>
        </w:rPr>
        <w:t xml:space="preserve">. En consonancia, en la literatura científica podemos encontrar pruebas del adecuado perfil de </w:t>
      </w:r>
      <w:r w:rsidR="009E4001">
        <w:rPr>
          <w:rFonts w:ascii="Times New Roman" w:hAnsi="Times New Roman"/>
        </w:rPr>
        <w:t>efectividad</w:t>
      </w:r>
      <w:r w:rsidR="009E4001" w:rsidRPr="00367BEC">
        <w:rPr>
          <w:rFonts w:ascii="Times New Roman" w:hAnsi="Times New Roman"/>
        </w:rPr>
        <w:t xml:space="preserve"> </w:t>
      </w:r>
      <w:r w:rsidRPr="00367BEC">
        <w:rPr>
          <w:rFonts w:ascii="Times New Roman" w:hAnsi="Times New Roman"/>
        </w:rPr>
        <w:t xml:space="preserve">y </w:t>
      </w:r>
      <w:r w:rsidR="00761D01">
        <w:rPr>
          <w:rFonts w:ascii="Times New Roman" w:hAnsi="Times New Roman"/>
        </w:rPr>
        <w:t>tolerabilidad</w:t>
      </w:r>
      <w:r w:rsidR="00761D01" w:rsidRPr="00367BEC">
        <w:rPr>
          <w:rFonts w:ascii="Times New Roman" w:hAnsi="Times New Roman"/>
        </w:rPr>
        <w:t xml:space="preserve"> </w:t>
      </w:r>
      <w:r w:rsidRPr="00367BEC">
        <w:rPr>
          <w:rFonts w:ascii="Times New Roman" w:hAnsi="Times New Roman"/>
        </w:rPr>
        <w:t>del tapentadol</w:t>
      </w:r>
      <w:r w:rsidR="00761D01">
        <w:rPr>
          <w:rFonts w:ascii="Times New Roman" w:hAnsi="Times New Roman"/>
        </w:rPr>
        <w:t>, principalmente gastrointestinal,</w:t>
      </w:r>
      <w:r w:rsidRPr="00367BEC">
        <w:rPr>
          <w:rFonts w:ascii="Times New Roman" w:hAnsi="Times New Roman"/>
        </w:rPr>
        <w:t xml:space="preserve"> para el control del dolor </w:t>
      </w:r>
      <w:r w:rsidR="00761D01">
        <w:rPr>
          <w:rFonts w:ascii="Times New Roman" w:hAnsi="Times New Roman"/>
        </w:rPr>
        <w:t xml:space="preserve">intenso </w:t>
      </w:r>
      <w:r w:rsidRPr="00367BEC">
        <w:rPr>
          <w:rFonts w:ascii="Times New Roman" w:hAnsi="Times New Roman"/>
        </w:rPr>
        <w:t xml:space="preserve">en diversas afecciones dolorosas, en comparación con opioides potentes clásicos como la oxicodona o la combinación oxicodona/naloxona </w:t>
      </w:r>
      <w:bookmarkEnd w:id="1"/>
      <w:r w:rsidR="0008759E" w:rsidRPr="00367BEC">
        <w:rPr>
          <w:rFonts w:ascii="Times New Roman" w:hAnsi="Times New Roman" w:cs="Times New Roman"/>
        </w:rPr>
        <w:fldChar w:fldCharType="begin"/>
      </w:r>
      <w:r w:rsidR="00C56A05" w:rsidRPr="00367BEC">
        <w:rPr>
          <w:rFonts w:ascii="Times New Roman" w:hAnsi="Times New Roman" w:cs="Times New Roman"/>
        </w:rPr>
        <w:instrText xml:space="preserve"> ADDIN ZOTERO_ITEM CSL_CITATION {"citationID":"pHlZKyJJ","properties":{"formattedCitation":"(1,3)","plainCitation":"(1,3)","noteIndex":0},"citationItems":[{"id":51502,"uris":["http://zotero.org/groups/2141613/items/SF5RI3PV"],"uri":["http://zotero.org/groups/2141613/items/SF5RI3PV"],"itemData":{"id":51502,"type":"article-journal","abstract":"Tapentadol prolonged release (PR) for the treatment of moderate to severe chronic pain combines 2 modes of action. These are mu-opioid receptor agonism and noradrenaline reuptake inhibition in a single molecule that allow higher analgesic potency through modulation of different pharmacological targets within the pain transmitting systems. At the same time, this can also serve as a clue for modulation of different pain-generating mechanisms according to nociceptive, neuropathic, or mixed pain conditions. Tapentadol PR has now been on the market for 5 years, with over 4.6 million people treated worldwide. A panel of pain specialists convened in Germany to review the clinical program and to discuss the role of tapentadol PR in the management of chronic pain. The clinical study program demonstrated effective and generally well-tolerated treatment for up to 2 years in a broad range of chronic pain conditions, including those with neuropathic pain components. This was confirmed in routine clinical practice observations. Head-to-head studies with World Health Organization (WHO) III opioids such as oxycodone controlled release and oxycodone/naloxone PR showed at least comparable pain relief in the treatment of moderate-to-severe musculoskeletal pain. Rotation from poorly tolerated WHO III opioids to tapentadol PR provided effective pain relief and better symptom control for musculoskeletal pain compared to previous medication. Functionality, health status and quality of life also improved under tapentadol PR treatment. The gastrointestinal tolerability profile was more favorable compared to other tested WHO III opioids. Tapentadol PR has a good safety profile and no evidence of acquired tolerance from the long-term data so far collected. Overall, tapentadol PR represents an effective and generally well-tolerated alternative to \"classical\" opioidergic drugs.","archive_location":"27611642","container-title":"Pain Pract","DOI":"10.1111/papr.12515","ISSN":"1530-7085","issue":"5","journalAbbreviation":"Pain practice : the official journal of World Institute of Pain","language":"eng","page":"678-700","source":"Nlm","title":"Tapentadol Prolonged Release for Chronic Pain: A Review of Clinical Trials and 5 Years of Routine Clinical Practice Data","title-short":"Tapentadol Prolonged Release for Chronic Pain: A Review of Clinical Trials and 5 Years of Routine Clinical Practice Data","volume":"17","author":[{"family":"Baron","given":"Ralf"},{"family":"Eberhart","given":"L."},{"family":"Kern","given":"K. U."},{"family":"Regner","given":"S."},{"family":"Rolke","given":"R."},{"family":"Simanski","given":"C."},{"family":"Tolle","given":"T."}],"issued":{"date-parts":[["2016",6]]}},"label":"page"},{"id":56956,"uris":["http://zotero.org/groups/2141613/items/G3TLPKV5"],"uri":["http://zotero.org/groups/2141613/items/G3TLPKV5"],"itemData":{"id":56956,"type":"article-journal","abstract":"INTRODUCTION: Tapentadol is a centrally acting analgesic that has been available for the management of acute and chronic pain in routine clinical practice since 2009. METHODS: This is the first integrated descriptive analysis of post-marketing safety data following the use of tapentadol in a broad range of pain conditions relating to the topics overall safety, dose administration above approved dosages, administration during pregnancy, serotonin syndrome, respiratory depression, and convulsion. The data analyzed pertain to spontaneous reports from healthcare and non-healthcare professionals and were put in the context of safety information known from interventional and non-interventional trials. RESULTS: The first years of routine clinical practice experience with tapentadol have confirmed the tolerability profile that emerged from the clinical trials. Moreover, the reporting of expected side effects such as respiratory depression and convulsion was low and no major risks were identified. The evaluation of available post-marketing data did not confirm the theoretical risk of serotonin syndrome nor did it reveal unexpected side effects with administration of higher than recommended doses. CONCLUSION: More than 8 years after its first introduction, the favorable overall safety profile of tapentadol in the treatment of various pain conditions is maintained in the general population. FUNDING: Grunenthal GmbH.","archive_location":"29270779","container-title":"Adv Ther","DOI":"10.1007/s12325-017-0654-0","ISSN":"0741-238x","issue":"1","journalAbbreviation":"Advances in therapy","language":"eng","page":"12-30","source":"Nlm","title":"Review of Post-Marketing Safety Data on Tapentadol, a Centrally Acting Analgesic","title-short":"Review of Post-Marketing Safety Data on Tapentadol, a Centrally Acting Analgesic","volume":"35","author":[{"family":"Stollenwerk","given":"A."},{"family":"Sohns","given":"M."},{"family":"Heisig","given":"F."},{"family":"Elling","given":"C."},{"family":"Zabern","given":"D.","non-dropping-particle":"von"}],"issued":{"date-parts":[["2017",1]]}},"label":"page"}],"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(1,3)</w:t>
      </w:r>
      <w:r w:rsidR="0008759E" w:rsidRPr="00367BEC">
        <w:rPr>
          <w:rFonts w:ascii="Times New Roman" w:hAnsi="Times New Roman" w:cs="Times New Roman"/>
        </w:rPr>
        <w:fldChar w:fldCharType="end"/>
      </w:r>
      <w:r w:rsidRPr="00367BEC">
        <w:rPr>
          <w:rFonts w:ascii="Times New Roman" w:hAnsi="Times New Roman"/>
        </w:rPr>
        <w:t>.</w:t>
      </w:r>
    </w:p>
    <w:p w14:paraId="26AEAB64" w14:textId="20A3ACA5" w:rsidR="00941DA4" w:rsidRPr="00367BEC" w:rsidRDefault="00AB7B31" w:rsidP="00DD77CA">
      <w:pPr>
        <w:spacing w:after="0" w:line="480" w:lineRule="auto"/>
        <w:jc w:val="both"/>
        <w:rPr>
          <w:rStyle w:val="Textoennegrita"/>
          <w:rFonts w:ascii="Times New Roman" w:hAnsi="Times New Roman" w:cs="Times New Roman"/>
          <w:b w:val="0"/>
          <w:bCs w:val="0"/>
        </w:rPr>
      </w:pPr>
      <w:r w:rsidRPr="00367BEC">
        <w:rPr>
          <w:rFonts w:ascii="Times New Roman" w:hAnsi="Times New Roman"/>
        </w:rPr>
        <w:t xml:space="preserve">El tapentadol se aprobó en 2009 en Estados Unidos y a finales de 2010 en Europa, y se ha estado usando en la práctica clínica desde entonces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2B1XDYup","properties":{"formattedCitation":"(3)","plainCitation":"(3)","noteIndex":0},"citationItems":[{"id":43032,"uris":["http://zotero.org/groups/2141613/items/G3TLPKV5"],"uri":["http://zotero.org/groups/2141613/items/G3TLPKV5"],"itemData":{"id":43032,"type":"article-journal","abstract":"INTRODUCTION: Tapentadol is a centrally acting analgesic that has been available for the management of acute and chronic pain in routine clinical practice since 2009. METHODS: This is the first integrated descriptive analysis of post-marketing safety data following the use of tapentadol in a broad range of pain conditions relating to the topics overall safety, dose administration above approved dosages, administration during pregnancy, serotonin syndrome, respiratory depression, and convulsion. The data analyzed pertain to spontaneous reports from healthcare and non-healthcare professionals and were put in the context of safety information known from interventional and non-interventional trials. RESULTS: The first years of routine clinical practice experience with tapentadol have confirmed the tolerability profile that emerged from the clinical trials. Moreover, the reporting of expected side effects such as respiratory depression and convulsion was low and no major risks were identified. The evaluation of available post-marketing data did not confirm the theoretical risk of serotonin syndrome nor did it reveal unexpected side effects with administration of higher than recommended doses. CONCLUSION: More than 8 years after its first introduction, the favorable overall safety profile of tapentadol in the treatment of various pain conditions is maintained in the general population. FUNDING: Grunenthal GmbH.","archive_location":"29270779","container-title":"Adv Ther","DOI":"10.1007/s12325-017-0654-0","ISSN":"0741-238x","issue":"1","journalAbbreviation":"Advances in therapy","language":"eng","page":"12-30","source":"Nlm","title":"Review of Post-Marketing Safety Data on Tapentadol, a Centrally Acting Analgesic","title-short":"Review of Post-Marketing Safety Data on Tapentadol, a Centrally Acting Analgesic","volume":"35","author":[{"family":"Stollenwerk","given":"A."},{"family":"Sohns","given":"M."},{"family":"Heisig","given":"F."},{"family":"Elling","given":"C."},{"family":"Zabern","given":"D.","non-dropping-particle":"von"}],"issued":{"date-parts":[["2017",1]]}}}],"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(3)</w:t>
      </w:r>
      <w:r w:rsidR="0008759E" w:rsidRPr="00367BEC">
        <w:rPr>
          <w:rFonts w:ascii="Times New Roman" w:hAnsi="Times New Roman" w:cs="Times New Roman"/>
        </w:rPr>
        <w:fldChar w:fldCharType="end"/>
      </w:r>
      <w:r w:rsidRPr="00367BEC">
        <w:rPr>
          <w:rFonts w:ascii="Times New Roman" w:hAnsi="Times New Roman"/>
        </w:rPr>
        <w:t xml:space="preserve">. Por ello, es posible que la literatura científica aporte datos reales adicionales sobre el uso, la </w:t>
      </w:r>
      <w:r w:rsidR="00761D01">
        <w:rPr>
          <w:rFonts w:ascii="Times New Roman" w:hAnsi="Times New Roman"/>
        </w:rPr>
        <w:t>efectividad</w:t>
      </w:r>
      <w:r w:rsidR="00761D01" w:rsidRPr="00367BEC">
        <w:rPr>
          <w:rFonts w:ascii="Times New Roman" w:hAnsi="Times New Roman"/>
        </w:rPr>
        <w:t xml:space="preserve"> </w:t>
      </w:r>
      <w:r w:rsidRPr="00367BEC">
        <w:rPr>
          <w:rFonts w:ascii="Times New Roman" w:hAnsi="Times New Roman"/>
        </w:rPr>
        <w:t xml:space="preserve">y la tolerabilidad del tapentadol en el control del dolor. Los datos de la vida real son aquellos que se obtienen en el contexto de la práctica clínica habitual, y completan los conocimientos extraídos de ensayos clínicos tradicionales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JBNKB1EA","properties":{"formattedCitation":"(4)","plainCitation":"(4)","noteIndex":0},"citationItems":[{"id":43030,"uris":["http://zotero.org/groups/2141613/items/IC3IMCFF"],"uri":["http://zotero.org/groups/2141613/items/IC3IMCFF"],"itemData":{"id":43030,"type":"article-journal","archive_location":"27959688","container-title":"N Engl J Med","DOI":"10.1056/NEJMsb1609216","ISSN":"0028-4793","issue":"23","journalAbbreviation":"The New England journal of medicine","language":"eng","page":"2293-2297","source":"Nlm","title":"Real-World Evidence - What Is It and What Can It Tell Us?","title-short":"Real-World Evidence - What Is It and What Can It Tell Us?","volume":"375","author":[{"family":"Sherman","given":"R. E."},{"family":"Anderson","given":"S. A."},{"family":"Dal Pan","given":"G. J."},{"family":"Gray","given":"G. W."},{"family":"Gross","given":"T."},{"family":"Hunter","given":"N. L."},{"family":"LaVange","given":"L."},{"family":"Marinac-Dabic","given":"D."},{"family":"Marks","given":"P. W."},{"family":"Robb","given":"M. A."},{"family":"Shuren","given":"J."},{"family":"Temple","given":"R."},{"family":"Woodcock","given":"J."},{"family":"Yue","given":"L. Q."},{"family":"Califf","given":"R. M."}],"issued":{"date-parts":[["2016",12,8]]}}}],"schema":"https://github.com/citation-style-language/schema/raw/master/csl-citation.json"}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(4)</w:t>
      </w:r>
      <w:r w:rsidR="0008759E" w:rsidRPr="00367BEC">
        <w:rPr>
          <w:rFonts w:ascii="Times New Roman" w:hAnsi="Times New Roman" w:cs="Times New Roman"/>
        </w:rPr>
        <w:fldChar w:fldCharType="end"/>
      </w:r>
      <w:r w:rsidRPr="00367BEC">
        <w:rPr>
          <w:rFonts w:ascii="Times New Roman" w:hAnsi="Times New Roman"/>
        </w:rPr>
        <w:t xml:space="preserve">. Tras 10 años en el mercado como el único analgésico con propiedades MOR-NRI combinadas, no se dispone de ninguna revisión sistemática de la literatura sobre el uso, la </w:t>
      </w:r>
      <w:r w:rsidR="00761D01">
        <w:rPr>
          <w:rFonts w:ascii="Times New Roman" w:hAnsi="Times New Roman"/>
        </w:rPr>
        <w:lastRenderedPageBreak/>
        <w:t>efectividad</w:t>
      </w:r>
      <w:r w:rsidR="00761D01" w:rsidRPr="00367BEC">
        <w:rPr>
          <w:rFonts w:ascii="Times New Roman" w:hAnsi="Times New Roman"/>
        </w:rPr>
        <w:t xml:space="preserve"> </w:t>
      </w:r>
      <w:r w:rsidRPr="00367BEC">
        <w:rPr>
          <w:rFonts w:ascii="Times New Roman" w:hAnsi="Times New Roman"/>
        </w:rPr>
        <w:t xml:space="preserve">y la tolerabilidad del tapentadol para el control del dolor crónico en la práctica clínica habitual. Por tanto, el propósito de esta revisión sistemática era </w:t>
      </w:r>
      <w:bookmarkStart w:id="2" w:name="_Hlk14765309"/>
      <w:r w:rsidRPr="00367BEC">
        <w:rPr>
          <w:rFonts w:ascii="Times New Roman" w:hAnsi="Times New Roman"/>
        </w:rPr>
        <w:t xml:space="preserve">describir las dosis de tapentadol que se prescriben para controlar el dolor en la práctica clínica habitual, su tolerabilidad y su </w:t>
      </w:r>
      <w:r w:rsidR="00761D01">
        <w:rPr>
          <w:rFonts w:ascii="Times New Roman" w:hAnsi="Times New Roman"/>
        </w:rPr>
        <w:t>efectividad</w:t>
      </w:r>
      <w:r w:rsidR="00761D01" w:rsidRPr="00367BEC">
        <w:rPr>
          <w:rFonts w:ascii="Times New Roman" w:hAnsi="Times New Roman"/>
        </w:rPr>
        <w:t xml:space="preserve"> </w:t>
      </w:r>
      <w:r w:rsidRPr="00367BEC">
        <w:rPr>
          <w:rFonts w:ascii="Times New Roman" w:hAnsi="Times New Roman"/>
        </w:rPr>
        <w:t>en términos de función y calidad de vida.</w:t>
      </w:r>
      <w:bookmarkEnd w:id="2"/>
    </w:p>
    <w:p w14:paraId="3F1AFD8D" w14:textId="77777777" w:rsidR="00CF1C1E" w:rsidRPr="00367BEC" w:rsidRDefault="00CF1C1E" w:rsidP="00DD77CA">
      <w:pPr>
        <w:spacing w:after="0" w:line="480" w:lineRule="auto"/>
        <w:jc w:val="both"/>
        <w:rPr>
          <w:rFonts w:cstheme="minorHAnsi"/>
          <w:b/>
          <w:bCs/>
        </w:rPr>
      </w:pPr>
      <w:bookmarkStart w:id="3" w:name="_Hlk40345602"/>
      <w:r w:rsidRPr="00367BEC">
        <w:rPr>
          <w:b/>
        </w:rPr>
        <w:t xml:space="preserve">MATERIAL Y MÉTODOS </w:t>
      </w:r>
    </w:p>
    <w:bookmarkEnd w:id="3"/>
    <w:p w14:paraId="09E180A4" w14:textId="0366F8E7" w:rsidR="000D40A6" w:rsidRPr="00367BEC" w:rsidRDefault="00554410" w:rsidP="00DD77CA">
      <w:pPr>
        <w:spacing w:after="0" w:line="480" w:lineRule="auto"/>
        <w:jc w:val="both"/>
        <w:rPr>
          <w:rStyle w:val="Textoennegrita"/>
          <w:rFonts w:ascii="Times New Roman" w:hAnsi="Times New Roman" w:cs="Times New Roman"/>
          <w:b w:val="0"/>
          <w:bCs w:val="0"/>
        </w:rPr>
      </w:pPr>
      <w:r w:rsidRPr="00367BEC">
        <w:rPr>
          <w:rStyle w:val="Textoennegrita"/>
          <w:rFonts w:ascii="Times New Roman" w:hAnsi="Times New Roman"/>
          <w:b w:val="0"/>
        </w:rPr>
        <w:t xml:space="preserve">La presente revisión sistemática se elaboró siguiendo la declaración PRISMA sobre la notificación de revisiones sistemáticas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CplxMxO0","properties":{"formattedCitation":"(5)","plainCitation":"(5)","noteIndex":0},"citationItems":[{"id":43029,"uris":["http://zotero.org/groups/2141613/items/GFTISD7K"],"uri":["http://zotero.org/groups/2141613/items/GFTISD7K"],"itemData":{"id":43029,"type":"article-journal","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meta-analyses.","archive_location":"19621070","container-title":"PLoS medicine","DOI":"10.1371/journal.pmed.1000100","ISSN":"1549-1676 (Electronic) 1549-1277 (Linking)","issue":"7","journalAbbreviation":"PLoS Med","page":"e1000100","title":"The PRISMA statement for reporting systematic reviews and meta-analyses of studies that evaluate health care interventions: explanation and elaboration","title-short":"The PRISMA statement for reporting systematic reviews and meta-analyses of studies that evaluate health care interventions: explanation and elaboration","volume":"6","author":[{"family":"Liberati","given":"A."},{"family":"Altman","given":"D. G."},{"family":"Tetzlaff","given":"J."},{"family":"Mulrow","given":"C."},{"family":"Gotzsche","given":"P. C."},{"family":"Ioannidis","given":"J. P."},{"family":"Clarke","given":"M."},{"family":"Devereaux","given":"P. J."},{"family":"Kleijnen","given":"J."},{"family":"Moher","given":"D."}],"issued":{"date-parts":[["2009",7,21]]}}}],"schema":"https://github.com/citation-style-language/schema/raw/master/csl-citation.json"}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(5)</w:t>
      </w:r>
      <w:r w:rsidR="0008759E" w:rsidRPr="00367BEC">
        <w:rPr>
          <w:rFonts w:ascii="Times New Roman" w:hAnsi="Times New Roman" w:cs="Times New Roman"/>
        </w:rPr>
        <w:fldChar w:fldCharType="end"/>
      </w:r>
      <w:r w:rsidRPr="00367BEC">
        <w:rPr>
          <w:rStyle w:val="Textoennegrita"/>
          <w:rFonts w:ascii="Times New Roman" w:hAnsi="Times New Roman"/>
          <w:b w:val="0"/>
        </w:rPr>
        <w:t>.</w:t>
      </w:r>
    </w:p>
    <w:p w14:paraId="03D3C3BB" w14:textId="2B66B52B" w:rsidR="000D40A6" w:rsidRPr="00367BEC" w:rsidRDefault="000D40A6" w:rsidP="00DD77CA">
      <w:pPr>
        <w:spacing w:after="0" w:line="480" w:lineRule="auto"/>
        <w:jc w:val="both"/>
        <w:rPr>
          <w:rStyle w:val="Textoennegrita"/>
          <w:rFonts w:ascii="Times New Roman" w:hAnsi="Times New Roman" w:cs="Times New Roman"/>
          <w:bCs w:val="0"/>
        </w:rPr>
      </w:pPr>
      <w:r w:rsidRPr="00367BEC">
        <w:rPr>
          <w:rStyle w:val="Textoennegrita"/>
          <w:rFonts w:ascii="Times New Roman" w:hAnsi="Times New Roman"/>
        </w:rPr>
        <w:t>Estrategia de búsqueda</w:t>
      </w:r>
    </w:p>
    <w:p w14:paraId="24CA18E6" w14:textId="2003D18D" w:rsidR="00EF3699" w:rsidRPr="00367BEC" w:rsidRDefault="00974B57" w:rsidP="00DD77CA">
      <w:pPr>
        <w:spacing w:after="0" w:line="480" w:lineRule="auto"/>
        <w:jc w:val="both"/>
        <w:rPr>
          <w:rStyle w:val="Textoennegrita"/>
          <w:rFonts w:ascii="Times New Roman" w:hAnsi="Times New Roman" w:cs="Times New Roman"/>
          <w:b w:val="0"/>
        </w:rPr>
      </w:pPr>
      <w:bookmarkStart w:id="4" w:name="_Hlk15989350"/>
      <w:r w:rsidRPr="00367BEC">
        <w:rPr>
          <w:rStyle w:val="Textoennegrita"/>
          <w:rFonts w:ascii="Times New Roman" w:hAnsi="Times New Roman"/>
          <w:b w:val="0"/>
        </w:rPr>
        <w:t>Los estudios se identificaron mediante búsquedas en bases de datos (PubMed</w:t>
      </w:r>
      <w:r w:rsidRPr="00367BEC">
        <w:rPr>
          <w:rStyle w:val="Textoennegrita"/>
          <w:rFonts w:ascii="Times New Roman" w:hAnsi="Times New Roman"/>
          <w:b w:val="0"/>
          <w:vertAlign w:val="superscript"/>
        </w:rPr>
        <w:t>®</w:t>
      </w:r>
      <w:r w:rsidRPr="00367BEC">
        <w:rPr>
          <w:rStyle w:val="Textoennegrita"/>
          <w:rFonts w:ascii="Times New Roman" w:hAnsi="Times New Roman"/>
          <w:b w:val="0"/>
        </w:rPr>
        <w:t xml:space="preserve"> y </w:t>
      </w:r>
      <w:proofErr w:type="spellStart"/>
      <w:r w:rsidRPr="00367BEC">
        <w:rPr>
          <w:rStyle w:val="Textoennegrita"/>
          <w:rFonts w:ascii="Times New Roman" w:hAnsi="Times New Roman"/>
          <w:b w:val="0"/>
        </w:rPr>
        <w:t>Embase</w:t>
      </w:r>
      <w:proofErr w:type="spellEnd"/>
      <w:r w:rsidRPr="00367BEC">
        <w:rPr>
          <w:rStyle w:val="Textoennegrita"/>
          <w:rFonts w:ascii="Times New Roman" w:hAnsi="Times New Roman"/>
          <w:b w:val="0"/>
          <w:vertAlign w:val="superscript"/>
        </w:rPr>
        <w:t>®</w:t>
      </w:r>
      <w:r w:rsidRPr="00367BEC">
        <w:rPr>
          <w:rStyle w:val="Textoennegrita"/>
          <w:rFonts w:ascii="Times New Roman" w:hAnsi="Times New Roman"/>
          <w:b w:val="0"/>
        </w:rPr>
        <w:t>) de artículos originales</w:t>
      </w:r>
      <w:bookmarkEnd w:id="4"/>
      <w:r w:rsidRPr="00367BEC">
        <w:rPr>
          <w:rStyle w:val="Textoennegrita"/>
          <w:rFonts w:ascii="Times New Roman" w:hAnsi="Times New Roman"/>
          <w:b w:val="0"/>
        </w:rPr>
        <w:t xml:space="preserve"> con las características siguientes: estudios observacionales o ensayos sin intervención en los que se estudió la </w:t>
      </w:r>
      <w:r w:rsidR="00761D01">
        <w:rPr>
          <w:rStyle w:val="Textoennegrita"/>
          <w:rFonts w:ascii="Times New Roman" w:hAnsi="Times New Roman"/>
          <w:b w:val="0"/>
        </w:rPr>
        <w:t>efectividad</w:t>
      </w:r>
      <w:r w:rsidR="00761D01" w:rsidRPr="00367BEC">
        <w:rPr>
          <w:rStyle w:val="Textoennegrita"/>
          <w:rFonts w:ascii="Times New Roman" w:hAnsi="Times New Roman"/>
          <w:b w:val="0"/>
        </w:rPr>
        <w:t xml:space="preserve"> </w:t>
      </w:r>
      <w:r w:rsidRPr="00367BEC">
        <w:rPr>
          <w:rStyle w:val="Textoennegrita"/>
          <w:rFonts w:ascii="Times New Roman" w:hAnsi="Times New Roman"/>
          <w:b w:val="0"/>
        </w:rPr>
        <w:t xml:space="preserve">del tapentadol en el control del dolor en personas adultas, publicados en los 10 años previos al 3 de octubre de 2018. Además, como enfoque adicional, se hizo una búsqueda en </w:t>
      </w:r>
      <w:bookmarkStart w:id="5" w:name="_Hlk42761911"/>
      <w:proofErr w:type="spellStart"/>
      <w:r w:rsidRPr="00170D2E">
        <w:rPr>
          <w:rStyle w:val="Textoennegrita"/>
          <w:rFonts w:ascii="Times New Roman" w:hAnsi="Times New Roman"/>
          <w:b w:val="0"/>
          <w:i/>
          <w:iCs/>
        </w:rPr>
        <w:t>The</w:t>
      </w:r>
      <w:proofErr w:type="spellEnd"/>
      <w:r w:rsidRPr="00170D2E">
        <w:rPr>
          <w:rStyle w:val="Textoennegrita"/>
          <w:rFonts w:ascii="Times New Roman" w:hAnsi="Times New Roman"/>
          <w:b w:val="0"/>
          <w:i/>
          <w:iCs/>
        </w:rPr>
        <w:t xml:space="preserve"> Cochrane </w:t>
      </w:r>
      <w:proofErr w:type="spellStart"/>
      <w:r w:rsidRPr="00170D2E">
        <w:rPr>
          <w:rStyle w:val="Textoennegrita"/>
          <w:rFonts w:ascii="Times New Roman" w:hAnsi="Times New Roman"/>
          <w:b w:val="0"/>
          <w:i/>
          <w:iCs/>
        </w:rPr>
        <w:t>Database</w:t>
      </w:r>
      <w:proofErr w:type="spellEnd"/>
      <w:r w:rsidRPr="00170D2E">
        <w:rPr>
          <w:rStyle w:val="Textoennegrita"/>
          <w:rFonts w:ascii="Times New Roman" w:hAnsi="Times New Roman"/>
          <w:b w:val="0"/>
          <w:i/>
          <w:iCs/>
        </w:rPr>
        <w:t xml:space="preserve"> </w:t>
      </w:r>
      <w:proofErr w:type="spellStart"/>
      <w:r w:rsidRPr="00170D2E">
        <w:rPr>
          <w:rStyle w:val="Textoennegrita"/>
          <w:rFonts w:ascii="Times New Roman" w:hAnsi="Times New Roman"/>
          <w:b w:val="0"/>
          <w:i/>
          <w:iCs/>
        </w:rPr>
        <w:t>of</w:t>
      </w:r>
      <w:proofErr w:type="spellEnd"/>
      <w:r w:rsidRPr="00170D2E">
        <w:rPr>
          <w:rStyle w:val="Textoennegrita"/>
          <w:rFonts w:ascii="Times New Roman" w:hAnsi="Times New Roman"/>
          <w:b w:val="0"/>
          <w:i/>
          <w:iCs/>
        </w:rPr>
        <w:t xml:space="preserve"> </w:t>
      </w:r>
      <w:proofErr w:type="spellStart"/>
      <w:r w:rsidRPr="00170D2E">
        <w:rPr>
          <w:rStyle w:val="Textoennegrita"/>
          <w:rFonts w:ascii="Times New Roman" w:hAnsi="Times New Roman"/>
          <w:b w:val="0"/>
          <w:i/>
          <w:iCs/>
        </w:rPr>
        <w:t>Systematic</w:t>
      </w:r>
      <w:proofErr w:type="spellEnd"/>
      <w:r w:rsidRPr="00170D2E">
        <w:rPr>
          <w:rStyle w:val="Textoennegrita"/>
          <w:rFonts w:ascii="Times New Roman" w:hAnsi="Times New Roman"/>
          <w:b w:val="0"/>
          <w:i/>
          <w:iCs/>
        </w:rPr>
        <w:t xml:space="preserve"> </w:t>
      </w:r>
      <w:proofErr w:type="spellStart"/>
      <w:r w:rsidRPr="00170D2E">
        <w:rPr>
          <w:rStyle w:val="Textoennegrita"/>
          <w:rFonts w:ascii="Times New Roman" w:hAnsi="Times New Roman"/>
          <w:b w:val="0"/>
          <w:i/>
          <w:iCs/>
        </w:rPr>
        <w:t>Reviews</w:t>
      </w:r>
      <w:bookmarkEnd w:id="5"/>
      <w:proofErr w:type="spellEnd"/>
      <w:r w:rsidRPr="00367BEC">
        <w:rPr>
          <w:rStyle w:val="Textoennegrita"/>
          <w:rFonts w:ascii="Times New Roman" w:hAnsi="Times New Roman"/>
          <w:b w:val="0"/>
        </w:rPr>
        <w:t xml:space="preserve"> publicados en los 2 años previos al 3 de octubre de 2018, en los que se hubieran estudiado la </w:t>
      </w:r>
      <w:r w:rsidR="00761D01">
        <w:rPr>
          <w:rStyle w:val="Textoennegrita"/>
          <w:rFonts w:ascii="Times New Roman" w:hAnsi="Times New Roman"/>
          <w:b w:val="0"/>
        </w:rPr>
        <w:t>efectividad</w:t>
      </w:r>
      <w:r w:rsidR="00761D01" w:rsidRPr="00367BEC">
        <w:rPr>
          <w:rStyle w:val="Textoennegrita"/>
          <w:rFonts w:ascii="Times New Roman" w:hAnsi="Times New Roman"/>
          <w:b w:val="0"/>
        </w:rPr>
        <w:t xml:space="preserve"> </w:t>
      </w:r>
      <w:r w:rsidRPr="00367BEC">
        <w:rPr>
          <w:rStyle w:val="Textoennegrita"/>
          <w:rFonts w:ascii="Times New Roman" w:hAnsi="Times New Roman"/>
          <w:b w:val="0"/>
        </w:rPr>
        <w:t>y la tolerabilidad del tapentadol en el control del dolor en personas adultas.</w:t>
      </w:r>
    </w:p>
    <w:p w14:paraId="7EF3C227" w14:textId="527B9E4B" w:rsidR="00C52956" w:rsidRPr="00367BEC" w:rsidRDefault="00993737" w:rsidP="00DD77CA">
      <w:pPr>
        <w:spacing w:after="0" w:line="480" w:lineRule="auto"/>
        <w:jc w:val="both"/>
        <w:rPr>
          <w:rFonts w:ascii="Times New Roman" w:eastAsia="Times New Roman" w:hAnsi="Times New Roman" w:cs="Times New Roman"/>
        </w:rPr>
      </w:pPr>
      <w:r w:rsidRPr="00367BEC">
        <w:rPr>
          <w:rStyle w:val="Textoennegrita"/>
          <w:rFonts w:ascii="Times New Roman" w:hAnsi="Times New Roman"/>
          <w:b w:val="0"/>
        </w:rPr>
        <w:t xml:space="preserve">Se combinaron los siguientes términos de búsqueda mediante los conectores </w:t>
      </w:r>
      <w:r w:rsidR="009E4001">
        <w:rPr>
          <w:rStyle w:val="Textoennegrita"/>
          <w:rFonts w:ascii="Times New Roman" w:hAnsi="Times New Roman"/>
          <w:b w:val="0"/>
          <w:i/>
        </w:rPr>
        <w:t>and</w:t>
      </w:r>
      <w:r w:rsidR="009E4001" w:rsidRPr="00367BEC">
        <w:rPr>
          <w:rStyle w:val="Textoennegrita"/>
          <w:rFonts w:ascii="Times New Roman" w:hAnsi="Times New Roman"/>
          <w:b w:val="0"/>
          <w:i/>
        </w:rPr>
        <w:t xml:space="preserve"> </w:t>
      </w:r>
      <w:r w:rsidRPr="00367BEC">
        <w:rPr>
          <w:rStyle w:val="Textoennegrita"/>
          <w:rFonts w:ascii="Times New Roman" w:hAnsi="Times New Roman"/>
          <w:b w:val="0"/>
          <w:i/>
        </w:rPr>
        <w:t>/</w:t>
      </w:r>
      <w:r w:rsidRPr="00367BEC">
        <w:rPr>
          <w:rStyle w:val="Textoennegrita"/>
          <w:rFonts w:ascii="Times New Roman" w:hAnsi="Times New Roman"/>
          <w:b w:val="0"/>
        </w:rPr>
        <w:t xml:space="preserve"> </w:t>
      </w:r>
      <w:proofErr w:type="spellStart"/>
      <w:r w:rsidRPr="00367BEC">
        <w:rPr>
          <w:rStyle w:val="Textoennegrita"/>
          <w:rFonts w:ascii="Times New Roman" w:hAnsi="Times New Roman"/>
          <w:b w:val="0"/>
          <w:i/>
        </w:rPr>
        <w:t>o</w:t>
      </w:r>
      <w:r w:rsidR="009E4001">
        <w:rPr>
          <w:rStyle w:val="Textoennegrita"/>
          <w:rFonts w:ascii="Times New Roman" w:hAnsi="Times New Roman"/>
          <w:b w:val="0"/>
          <w:i/>
        </w:rPr>
        <w:t>r</w:t>
      </w:r>
      <w:proofErr w:type="spellEnd"/>
      <w:r w:rsidRPr="00367BEC">
        <w:rPr>
          <w:rStyle w:val="Textoennegrita"/>
          <w:rFonts w:ascii="Times New Roman" w:hAnsi="Times New Roman"/>
          <w:b w:val="0"/>
        </w:rPr>
        <w:t xml:space="preserve"> en todas las bases de datos:</w:t>
      </w:r>
      <w:r w:rsidRPr="00367BEC">
        <w:rPr>
          <w:rStyle w:val="Textoennegrita"/>
          <w:rFonts w:ascii="Times New Roman" w:hAnsi="Times New Roman"/>
          <w:b w:val="0"/>
          <w:i/>
        </w:rPr>
        <w:t xml:space="preserve"> </w:t>
      </w:r>
      <w:proofErr w:type="spellStart"/>
      <w:r w:rsidR="009E4001" w:rsidRPr="009E4001">
        <w:rPr>
          <w:rFonts w:ascii="Times New Roman" w:hAnsi="Times New Roman"/>
          <w:i/>
        </w:rPr>
        <w:t>cancer</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pain</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chronic</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pain</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low</w:t>
      </w:r>
      <w:proofErr w:type="spellEnd"/>
      <w:r w:rsidR="009E4001" w:rsidRPr="009E4001">
        <w:rPr>
          <w:rFonts w:ascii="Times New Roman" w:hAnsi="Times New Roman"/>
          <w:i/>
        </w:rPr>
        <w:t xml:space="preserve"> back </w:t>
      </w:r>
      <w:proofErr w:type="spellStart"/>
      <w:r w:rsidR="009E4001" w:rsidRPr="009E4001">
        <w:rPr>
          <w:rFonts w:ascii="Times New Roman" w:hAnsi="Times New Roman"/>
          <w:i/>
        </w:rPr>
        <w:t>pain</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neuropathic</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component</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neuropathic</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pain</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nociceptive</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pain</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osteoarthritis</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knee</w:t>
      </w:r>
      <w:proofErr w:type="spellEnd"/>
      <w:r w:rsidR="009E4001" w:rsidRPr="009E4001">
        <w:rPr>
          <w:rFonts w:ascii="Times New Roman" w:hAnsi="Times New Roman"/>
          <w:i/>
        </w:rPr>
        <w:t xml:space="preserve">, </w:t>
      </w:r>
      <w:proofErr w:type="spellStart"/>
      <w:r w:rsidR="009E4001" w:rsidRPr="009E4001">
        <w:rPr>
          <w:rFonts w:ascii="Times New Roman" w:hAnsi="Times New Roman"/>
          <w:i/>
        </w:rPr>
        <w:t>pain</w:t>
      </w:r>
      <w:proofErr w:type="spellEnd"/>
      <w:r w:rsidR="009E4001" w:rsidRPr="009E4001">
        <w:rPr>
          <w:rFonts w:ascii="Times New Roman" w:hAnsi="Times New Roman"/>
          <w:i/>
        </w:rPr>
        <w:t>, tapentadol</w:t>
      </w:r>
      <w:r w:rsidRPr="00367BEC">
        <w:rPr>
          <w:rFonts w:ascii="Times New Roman" w:hAnsi="Times New Roman"/>
        </w:rPr>
        <w:t>,</w:t>
      </w:r>
      <w:r w:rsidRPr="00367BEC">
        <w:rPr>
          <w:rFonts w:ascii="Times New Roman" w:hAnsi="Times New Roman"/>
          <w:i/>
        </w:rPr>
        <w:t xml:space="preserve"> </w:t>
      </w:r>
      <w:proofErr w:type="spellStart"/>
      <w:r w:rsidRPr="00367BEC">
        <w:rPr>
          <w:rFonts w:ascii="Times New Roman" w:hAnsi="Times New Roman"/>
          <w:i/>
        </w:rPr>
        <w:t>Yantil</w:t>
      </w:r>
      <w:proofErr w:type="spellEnd"/>
      <w:r w:rsidRPr="00367BEC">
        <w:rPr>
          <w:rFonts w:ascii="Times New Roman" w:hAnsi="Times New Roman"/>
          <w:i/>
        </w:rPr>
        <w:t>®</w:t>
      </w:r>
      <w:r w:rsidRPr="00367BEC">
        <w:rPr>
          <w:rFonts w:ascii="Times New Roman" w:hAnsi="Times New Roman"/>
        </w:rPr>
        <w:t>,</w:t>
      </w:r>
      <w:r w:rsidRPr="00367BEC">
        <w:rPr>
          <w:rFonts w:ascii="Times New Roman" w:hAnsi="Times New Roman"/>
          <w:i/>
        </w:rPr>
        <w:t xml:space="preserve"> Palexia®</w:t>
      </w:r>
      <w:r w:rsidRPr="00367BEC">
        <w:rPr>
          <w:rFonts w:ascii="Times New Roman" w:hAnsi="Times New Roman"/>
        </w:rPr>
        <w:t>,</w:t>
      </w:r>
      <w:r w:rsidRPr="00367BEC">
        <w:rPr>
          <w:rFonts w:ascii="Times New Roman" w:hAnsi="Times New Roman"/>
          <w:i/>
        </w:rPr>
        <w:t xml:space="preserve"> </w:t>
      </w:r>
      <w:proofErr w:type="spellStart"/>
      <w:r w:rsidRPr="00367BEC">
        <w:rPr>
          <w:rFonts w:ascii="Times New Roman" w:hAnsi="Times New Roman"/>
          <w:i/>
        </w:rPr>
        <w:t>Nucynta</w:t>
      </w:r>
      <w:proofErr w:type="spellEnd"/>
      <w:r w:rsidRPr="00367BEC">
        <w:rPr>
          <w:rFonts w:ascii="Times New Roman" w:hAnsi="Times New Roman"/>
          <w:i/>
        </w:rPr>
        <w:t>™</w:t>
      </w:r>
      <w:r w:rsidRPr="00367BEC">
        <w:rPr>
          <w:rFonts w:ascii="Times New Roman" w:hAnsi="Times New Roman"/>
        </w:rPr>
        <w:t xml:space="preserve">. </w:t>
      </w:r>
      <w:r w:rsidRPr="002D03E7">
        <w:rPr>
          <w:rFonts w:ascii="Times New Roman" w:hAnsi="Times New Roman"/>
        </w:rPr>
        <w:t xml:space="preserve">También se utilizaron los filtros siguientes: </w:t>
      </w:r>
      <w:r w:rsidRPr="002D03E7">
        <w:rPr>
          <w:rFonts w:ascii="Times New Roman" w:hAnsi="Times New Roman"/>
          <w:i/>
        </w:rPr>
        <w:t>humanos</w:t>
      </w:r>
      <w:r w:rsidRPr="002D03E7">
        <w:rPr>
          <w:rFonts w:ascii="Times New Roman" w:hAnsi="Times New Roman"/>
        </w:rPr>
        <w:t xml:space="preserve">, </w:t>
      </w:r>
      <w:r w:rsidRPr="002D03E7">
        <w:rPr>
          <w:rFonts w:ascii="Times New Roman" w:hAnsi="Times New Roman"/>
          <w:i/>
        </w:rPr>
        <w:t>inglés</w:t>
      </w:r>
      <w:r w:rsidRPr="002D03E7">
        <w:rPr>
          <w:rFonts w:ascii="Times New Roman" w:hAnsi="Times New Roman"/>
        </w:rPr>
        <w:t xml:space="preserve"> o </w:t>
      </w:r>
      <w:r w:rsidRPr="002D03E7">
        <w:rPr>
          <w:rFonts w:ascii="Times New Roman" w:hAnsi="Times New Roman"/>
          <w:i/>
        </w:rPr>
        <w:t>español</w:t>
      </w:r>
      <w:r w:rsidRPr="002D03E7">
        <w:rPr>
          <w:rFonts w:ascii="Times New Roman" w:hAnsi="Times New Roman"/>
        </w:rPr>
        <w:t xml:space="preserve"> como idioma, </w:t>
      </w:r>
      <w:r w:rsidRPr="002D03E7">
        <w:rPr>
          <w:rFonts w:ascii="Times New Roman" w:hAnsi="Times New Roman"/>
          <w:i/>
        </w:rPr>
        <w:t>publicado en los últimos diez años</w:t>
      </w:r>
      <w:r w:rsidRPr="002D03E7">
        <w:rPr>
          <w:rFonts w:ascii="Times New Roman" w:hAnsi="Times New Roman"/>
        </w:rPr>
        <w:t xml:space="preserve">, </w:t>
      </w:r>
      <w:r w:rsidRPr="002D03E7">
        <w:rPr>
          <w:rFonts w:ascii="Times New Roman" w:hAnsi="Times New Roman"/>
          <w:i/>
        </w:rPr>
        <w:t>revisiones sistemáticas</w:t>
      </w:r>
      <w:r w:rsidRPr="002D03E7">
        <w:rPr>
          <w:rFonts w:ascii="Times New Roman" w:hAnsi="Times New Roman"/>
        </w:rPr>
        <w:t xml:space="preserve">, </w:t>
      </w:r>
      <w:r w:rsidRPr="002D03E7">
        <w:rPr>
          <w:rFonts w:ascii="Times New Roman" w:hAnsi="Times New Roman"/>
          <w:i/>
        </w:rPr>
        <w:t>meta</w:t>
      </w:r>
      <w:r w:rsidR="002D03E7">
        <w:rPr>
          <w:rFonts w:ascii="Times New Roman" w:hAnsi="Times New Roman"/>
          <w:i/>
        </w:rPr>
        <w:t>a</w:t>
      </w:r>
      <w:r w:rsidRPr="002D03E7">
        <w:rPr>
          <w:rFonts w:ascii="Times New Roman" w:hAnsi="Times New Roman"/>
          <w:i/>
        </w:rPr>
        <w:t>nálisis</w:t>
      </w:r>
      <w:r w:rsidRPr="002D03E7">
        <w:rPr>
          <w:rFonts w:ascii="Times New Roman" w:hAnsi="Times New Roman"/>
        </w:rPr>
        <w:t xml:space="preserve">, </w:t>
      </w:r>
      <w:r w:rsidRPr="002D03E7">
        <w:rPr>
          <w:rFonts w:ascii="Times New Roman" w:hAnsi="Times New Roman"/>
          <w:i/>
        </w:rPr>
        <w:t>estudios multicéntricos</w:t>
      </w:r>
      <w:r w:rsidRPr="003E0663">
        <w:rPr>
          <w:rFonts w:ascii="Times New Roman" w:hAnsi="Times New Roman"/>
        </w:rPr>
        <w:t xml:space="preserve"> y </w:t>
      </w:r>
      <w:r w:rsidRPr="003E0663">
        <w:rPr>
          <w:rFonts w:ascii="Times New Roman" w:hAnsi="Times New Roman"/>
          <w:i/>
        </w:rPr>
        <w:t>estudios observacio</w:t>
      </w:r>
      <w:r w:rsidRPr="002D03E7">
        <w:rPr>
          <w:rFonts w:ascii="Times New Roman" w:hAnsi="Times New Roman"/>
          <w:i/>
        </w:rPr>
        <w:t>nales</w:t>
      </w:r>
      <w:r w:rsidRPr="003E0663">
        <w:rPr>
          <w:rFonts w:ascii="Times New Roman" w:hAnsi="Times New Roman"/>
        </w:rPr>
        <w:t xml:space="preserve">. </w:t>
      </w:r>
      <w:r w:rsidRPr="00367BEC">
        <w:rPr>
          <w:rFonts w:ascii="Times New Roman" w:hAnsi="Times New Roman"/>
        </w:rPr>
        <w:t>En el Apéndice 1 se muestra la estrategia de búsqueda en detalle.</w:t>
      </w:r>
    </w:p>
    <w:p w14:paraId="690C85EC" w14:textId="3C51B3F0" w:rsidR="00CB4836" w:rsidRPr="00367BEC" w:rsidRDefault="005C3FFD" w:rsidP="00DD77CA">
      <w:pPr>
        <w:spacing w:after="0" w:line="480" w:lineRule="auto"/>
        <w:jc w:val="both"/>
        <w:rPr>
          <w:rStyle w:val="Textoennegrita"/>
          <w:rFonts w:ascii="Times New Roman" w:hAnsi="Times New Roman" w:cs="Times New Roman"/>
          <w:bCs w:val="0"/>
        </w:rPr>
      </w:pPr>
      <w:r w:rsidRPr="00367BEC">
        <w:rPr>
          <w:rStyle w:val="Textoennegrita"/>
          <w:rFonts w:ascii="Times New Roman" w:hAnsi="Times New Roman"/>
        </w:rPr>
        <w:t>Selección de los estudios</w:t>
      </w:r>
    </w:p>
    <w:p w14:paraId="2055C49A" w14:textId="4CFBD7C2" w:rsidR="00993737" w:rsidRPr="00367BEC" w:rsidRDefault="00F40C3F" w:rsidP="00DD77CA">
      <w:pPr>
        <w:spacing w:after="0" w:line="480" w:lineRule="auto"/>
        <w:jc w:val="both"/>
        <w:rPr>
          <w:rStyle w:val="Textoennegrita"/>
          <w:rFonts w:ascii="Times New Roman" w:hAnsi="Times New Roman" w:cs="Times New Roman"/>
          <w:b w:val="0"/>
          <w:bCs w:val="0"/>
        </w:rPr>
      </w:pPr>
      <w:r w:rsidRPr="00367BEC">
        <w:rPr>
          <w:rStyle w:val="Textoennegrita"/>
          <w:rFonts w:ascii="Times New Roman" w:hAnsi="Times New Roman"/>
          <w:b w:val="0"/>
        </w:rPr>
        <w:t>Los estudios identificados en cada base de datos se importaron a EndNoteX8 (</w:t>
      </w:r>
      <w:proofErr w:type="spellStart"/>
      <w:r w:rsidRPr="00367BEC">
        <w:rPr>
          <w:rStyle w:val="Textoennegrita"/>
          <w:rFonts w:ascii="Times New Roman" w:hAnsi="Times New Roman"/>
          <w:b w:val="0"/>
        </w:rPr>
        <w:t>Clarivate</w:t>
      </w:r>
      <w:proofErr w:type="spellEnd"/>
      <w:r w:rsidRPr="00367BEC">
        <w:rPr>
          <w:rStyle w:val="Textoennegrita"/>
          <w:rFonts w:ascii="Times New Roman" w:hAnsi="Times New Roman"/>
          <w:b w:val="0"/>
        </w:rPr>
        <w:t xml:space="preserve"> </w:t>
      </w:r>
      <w:proofErr w:type="spellStart"/>
      <w:r w:rsidRPr="00367BEC">
        <w:rPr>
          <w:rStyle w:val="Textoennegrita"/>
          <w:rFonts w:ascii="Times New Roman" w:hAnsi="Times New Roman"/>
          <w:b w:val="0"/>
        </w:rPr>
        <w:t>Analytics</w:t>
      </w:r>
      <w:proofErr w:type="spellEnd"/>
      <w:r w:rsidRPr="00367BEC">
        <w:rPr>
          <w:rStyle w:val="Textoennegrita"/>
          <w:rFonts w:ascii="Times New Roman" w:hAnsi="Times New Roman"/>
          <w:b w:val="0"/>
        </w:rPr>
        <w:t xml:space="preserve">, Filadelfia, EE. UU.). A continuación, se eliminaron los duplicados y se hizo una selección de títulos, resúmenes y textos completos para determinar la idoneidad según estos criterios: estudios observacionales, publicados en revistas científicas, en los 10 años previos a la fecha de la </w:t>
      </w:r>
      <w:r w:rsidR="0091535B">
        <w:rPr>
          <w:rStyle w:val="Textoennegrita"/>
          <w:rFonts w:ascii="Times New Roman" w:hAnsi="Times New Roman"/>
          <w:b w:val="0"/>
        </w:rPr>
        <w:t>búsqueda</w:t>
      </w:r>
      <w:r w:rsidRPr="00367BEC">
        <w:rPr>
          <w:rStyle w:val="Textoennegrita"/>
          <w:rFonts w:ascii="Times New Roman" w:hAnsi="Times New Roman"/>
          <w:b w:val="0"/>
        </w:rPr>
        <w:t xml:space="preserve">, texto íntegro en inglés, revisiones sistemáticas o </w:t>
      </w:r>
      <w:r w:rsidR="00233155" w:rsidRPr="00367BEC">
        <w:rPr>
          <w:rStyle w:val="Textoennegrita"/>
          <w:rFonts w:ascii="Times New Roman" w:hAnsi="Times New Roman"/>
          <w:b w:val="0"/>
        </w:rPr>
        <w:t>metaanálisis</w:t>
      </w:r>
      <w:r w:rsidRPr="00367BEC">
        <w:rPr>
          <w:rStyle w:val="Textoennegrita"/>
          <w:rFonts w:ascii="Times New Roman" w:hAnsi="Times New Roman"/>
          <w:b w:val="0"/>
        </w:rPr>
        <w:t xml:space="preserve"> de estudios </w:t>
      </w:r>
      <w:r w:rsidRPr="00367BEC">
        <w:rPr>
          <w:rStyle w:val="Textoennegrita"/>
          <w:rFonts w:ascii="Times New Roman" w:hAnsi="Times New Roman"/>
          <w:b w:val="0"/>
        </w:rPr>
        <w:lastRenderedPageBreak/>
        <w:t>observacionales, participantes humanos adultos, intervención con tapentadol a una dosis específica, evaluación de la analgesia como criterio de valoración.</w:t>
      </w:r>
    </w:p>
    <w:p w14:paraId="635C6488" w14:textId="64A03A08" w:rsidR="00CB4836" w:rsidRPr="00367BEC" w:rsidRDefault="000D40A6" w:rsidP="00DD77CA">
      <w:pPr>
        <w:spacing w:after="0" w:line="480" w:lineRule="auto"/>
        <w:jc w:val="both"/>
        <w:rPr>
          <w:rStyle w:val="Textoennegrita"/>
        </w:rPr>
      </w:pPr>
      <w:r w:rsidRPr="00367BEC">
        <w:rPr>
          <w:rStyle w:val="Textoennegrita"/>
        </w:rPr>
        <w:t>Recogida de datos</w:t>
      </w:r>
    </w:p>
    <w:p w14:paraId="3A298561" w14:textId="6F68413B" w:rsidR="00CB4836" w:rsidRPr="00367BEC" w:rsidRDefault="000E0C96" w:rsidP="00DD77CA">
      <w:pPr>
        <w:spacing w:after="0" w:line="480" w:lineRule="auto"/>
        <w:jc w:val="both"/>
        <w:rPr>
          <w:rFonts w:ascii="Times New Roman" w:hAnsi="Times New Roman" w:cs="Times New Roman"/>
        </w:rPr>
      </w:pPr>
      <w:r w:rsidRPr="00367BEC">
        <w:rPr>
          <w:rFonts w:ascii="Times New Roman" w:hAnsi="Times New Roman"/>
        </w:rPr>
        <w:t xml:space="preserve">Se extrajo información detallada de cada estudio y se registró en una hoja de datos de Excel (versión 1905, Microsoft </w:t>
      </w:r>
      <w:proofErr w:type="spellStart"/>
      <w:r w:rsidRPr="00367BEC">
        <w:rPr>
          <w:rFonts w:ascii="Times New Roman" w:hAnsi="Times New Roman"/>
        </w:rPr>
        <w:t>Corporation</w:t>
      </w:r>
      <w:proofErr w:type="spellEnd"/>
      <w:r w:rsidRPr="00367BEC">
        <w:rPr>
          <w:rFonts w:ascii="Times New Roman" w:hAnsi="Times New Roman"/>
        </w:rPr>
        <w:t xml:space="preserve">, EE. UU.) que sirvió como prueba piloto y se modificó según fue necesario. De cada estudio se extrajo lo siguiente: a) tipo de estudio: país, diseño, duración y comparador; b) participantes: tamaño de la muestra, edad, sexo, tipo de dolor (p. ej., dolor relacionado o no relacionado con el cáncer), etiología del dolor (neuropático, </w:t>
      </w:r>
      <w:r w:rsidR="00761D01">
        <w:rPr>
          <w:rFonts w:ascii="Times New Roman" w:hAnsi="Times New Roman"/>
        </w:rPr>
        <w:t>nociceptivo</w:t>
      </w:r>
      <w:r w:rsidRPr="00367BEC">
        <w:rPr>
          <w:rFonts w:ascii="Times New Roman" w:hAnsi="Times New Roman"/>
        </w:rPr>
        <w:t xml:space="preserve"> o mixto), duración del dolor y comorbilidades; c) intervención: tratamiento analgésico previo, tratamiento analgésico concomitante al inicio y al final del periodo de observación, y dosis de tapentadol al inicio de la intervención, después del ajuste y al final del periodo de observación; d) criterios de valoración: resultados, valor al inicio y al final del periodo de observación; y e) tolerabilidad: acontecimientos adversos, reacciones adversas al medicamento y reacciones adversas graves al medicamento. Si estaban disponibles, se extrajeron los valores de </w:t>
      </w:r>
      <w:r w:rsidRPr="00367BEC">
        <w:rPr>
          <w:rFonts w:ascii="Times New Roman" w:hAnsi="Times New Roman"/>
          <w:i/>
          <w:iCs/>
        </w:rPr>
        <w:t>p</w:t>
      </w:r>
      <w:r w:rsidRPr="00367BEC">
        <w:rPr>
          <w:rFonts w:ascii="Times New Roman" w:hAnsi="Times New Roman"/>
        </w:rPr>
        <w:t xml:space="preserve"> para abordar la significación estadística de las diferencias dentro de los grupos (desde el inicio hasta el final del periodo de observación) y/o entre grupos (al inicio y/o al final del periodo de observación, y/o para el cambio) de cada estudio.</w:t>
      </w:r>
    </w:p>
    <w:p w14:paraId="571E431F" w14:textId="4E114E55" w:rsidR="0091171F" w:rsidRPr="00367BEC" w:rsidRDefault="002F65DE" w:rsidP="00CF1C1E">
      <w:pPr>
        <w:spacing w:after="0" w:line="480" w:lineRule="auto"/>
        <w:jc w:val="both"/>
        <w:rPr>
          <w:rFonts w:ascii="Times New Roman" w:hAnsi="Times New Roman" w:cs="Times New Roman"/>
        </w:rPr>
      </w:pPr>
      <w:r w:rsidRPr="00367BEC">
        <w:rPr>
          <w:rFonts w:ascii="Times New Roman" w:hAnsi="Times New Roman"/>
        </w:rPr>
        <w:t xml:space="preserve">Por último, se evaluó la calidad de los estudios mediante la </w:t>
      </w:r>
      <w:r w:rsidR="0091535B" w:rsidRPr="0091535B">
        <w:rPr>
          <w:rFonts w:ascii="Times New Roman" w:hAnsi="Times New Roman"/>
          <w:i/>
        </w:rPr>
        <w:t xml:space="preserve">NIH </w:t>
      </w:r>
      <w:proofErr w:type="spellStart"/>
      <w:r w:rsidR="0091535B" w:rsidRPr="0091535B">
        <w:rPr>
          <w:rFonts w:ascii="Times New Roman" w:hAnsi="Times New Roman"/>
          <w:i/>
        </w:rPr>
        <w:t>Quality</w:t>
      </w:r>
      <w:proofErr w:type="spellEnd"/>
      <w:r w:rsidR="0091535B" w:rsidRPr="0091535B">
        <w:rPr>
          <w:rFonts w:ascii="Times New Roman" w:hAnsi="Times New Roman"/>
          <w:i/>
        </w:rPr>
        <w:t xml:space="preserve"> </w:t>
      </w:r>
      <w:proofErr w:type="spellStart"/>
      <w:r w:rsidR="0091535B" w:rsidRPr="0091535B">
        <w:rPr>
          <w:rFonts w:ascii="Times New Roman" w:hAnsi="Times New Roman"/>
          <w:i/>
        </w:rPr>
        <w:t>Assessment</w:t>
      </w:r>
      <w:proofErr w:type="spellEnd"/>
      <w:r w:rsidR="0091535B" w:rsidRPr="0091535B">
        <w:rPr>
          <w:rFonts w:ascii="Times New Roman" w:hAnsi="Times New Roman"/>
          <w:i/>
        </w:rPr>
        <w:t xml:space="preserve"> Tool </w:t>
      </w:r>
      <w:proofErr w:type="spellStart"/>
      <w:r w:rsidR="0091535B" w:rsidRPr="0091535B">
        <w:rPr>
          <w:rFonts w:ascii="Times New Roman" w:hAnsi="Times New Roman"/>
          <w:i/>
        </w:rPr>
        <w:t>for</w:t>
      </w:r>
      <w:proofErr w:type="spellEnd"/>
      <w:r w:rsidR="0091535B" w:rsidRPr="0091535B">
        <w:rPr>
          <w:rFonts w:ascii="Times New Roman" w:hAnsi="Times New Roman"/>
          <w:i/>
        </w:rPr>
        <w:t xml:space="preserve"> </w:t>
      </w:r>
      <w:proofErr w:type="spellStart"/>
      <w:r w:rsidR="0091535B" w:rsidRPr="0091535B">
        <w:rPr>
          <w:rFonts w:ascii="Times New Roman" w:hAnsi="Times New Roman"/>
          <w:i/>
        </w:rPr>
        <w:t>Observational</w:t>
      </w:r>
      <w:proofErr w:type="spellEnd"/>
      <w:r w:rsidR="0091535B" w:rsidRPr="0091535B">
        <w:rPr>
          <w:rFonts w:ascii="Times New Roman" w:hAnsi="Times New Roman"/>
          <w:i/>
        </w:rPr>
        <w:t xml:space="preserve"> </w:t>
      </w:r>
      <w:proofErr w:type="spellStart"/>
      <w:r w:rsidR="0091535B" w:rsidRPr="0091535B">
        <w:rPr>
          <w:rFonts w:ascii="Times New Roman" w:hAnsi="Times New Roman"/>
          <w:i/>
        </w:rPr>
        <w:t>Cohort</w:t>
      </w:r>
      <w:proofErr w:type="spellEnd"/>
      <w:r w:rsidR="0091535B" w:rsidRPr="0091535B">
        <w:rPr>
          <w:rFonts w:ascii="Times New Roman" w:hAnsi="Times New Roman"/>
          <w:i/>
        </w:rPr>
        <w:t xml:space="preserve"> and Cross-</w:t>
      </w:r>
      <w:proofErr w:type="spellStart"/>
      <w:r w:rsidR="0091535B" w:rsidRPr="0091535B">
        <w:rPr>
          <w:rFonts w:ascii="Times New Roman" w:hAnsi="Times New Roman"/>
          <w:i/>
        </w:rPr>
        <w:t>sectional</w:t>
      </w:r>
      <w:proofErr w:type="spellEnd"/>
      <w:r w:rsidR="0091535B" w:rsidRPr="0091535B">
        <w:rPr>
          <w:rFonts w:ascii="Times New Roman" w:hAnsi="Times New Roman"/>
          <w:i/>
        </w:rPr>
        <w:t xml:space="preserve"> </w:t>
      </w:r>
      <w:proofErr w:type="spellStart"/>
      <w:r w:rsidR="0091535B" w:rsidRPr="0091535B">
        <w:rPr>
          <w:rFonts w:ascii="Times New Roman" w:hAnsi="Times New Roman"/>
          <w:i/>
        </w:rPr>
        <w:t>Studies</w:t>
      </w:r>
      <w:proofErr w:type="spellEnd"/>
      <w:r w:rsidR="0091535B" w:rsidRPr="0091535B" w:rsidDel="0091535B">
        <w:rPr>
          <w:rFonts w:ascii="Times New Roman" w:hAnsi="Times New Roman"/>
          <w:i/>
        </w:rPr>
        <w:t xml:space="preserve"> </w:t>
      </w:r>
      <w:r w:rsidR="002978E2" w:rsidRPr="00367BEC">
        <w:rPr>
          <w:rFonts w:ascii="Times New Roman" w:hAnsi="Times New Roman" w:cs="Times New Roman"/>
          <w:i/>
        </w:rPr>
        <w:fldChar w:fldCharType="begin"/>
      </w:r>
      <w:r w:rsidR="004F143F" w:rsidRPr="00367BEC">
        <w:rPr>
          <w:rFonts w:ascii="Times New Roman" w:hAnsi="Times New Roman" w:cs="Times New Roman"/>
          <w:i/>
        </w:rPr>
        <w:instrText xml:space="preserve"> ADDIN ZOTERO_ITEM CSL_CITATION {"citationID":"UVEuushh","properties":{"formattedCitation":"(6)","plainCitation":"(6)","noteIndex":0},"citationItems":[{"id":44008,"uris":["http://zotero.org/groups/2141613/items/B37EDUAG"],"uri":["http://zotero.org/groups/2141613/items/B37EDUAG"],"itemData":{"id":44008,"type":"webpage","title":"Study Quality Assessment Tools","URL":"https://www.nhlbi.nih.gov/health-topics/study-quality-assessment-tools","author":[{"family":"National Heart, Lung, and Blood Institute (NHLBI)","given":""}],"accessed":{"date-parts":[["2019",7,9]]}}}],"schema":"https://github.com/citation-style-language/schema/raw/master/csl-citation.json"} </w:instrText>
      </w:r>
      <w:r w:rsidR="002978E2" w:rsidRPr="00367BEC">
        <w:rPr>
          <w:rFonts w:ascii="Times New Roman" w:hAnsi="Times New Roman" w:cs="Times New Roman"/>
          <w:i/>
        </w:rPr>
        <w:fldChar w:fldCharType="separate"/>
      </w:r>
      <w:r w:rsidR="00C56A05" w:rsidRPr="00367BEC">
        <w:rPr>
          <w:rFonts w:ascii="Times New Roman" w:hAnsi="Times New Roman" w:cs="Times New Roman"/>
        </w:rPr>
        <w:t>(6)</w:t>
      </w:r>
      <w:r w:rsidR="002978E2" w:rsidRPr="00367BEC">
        <w:rPr>
          <w:rFonts w:ascii="Times New Roman" w:hAnsi="Times New Roman" w:cs="Times New Roman"/>
          <w:i/>
        </w:rPr>
        <w:fldChar w:fldCharType="end"/>
      </w:r>
      <w:r w:rsidRPr="00367BEC">
        <w:rPr>
          <w:rFonts w:ascii="Times New Roman" w:hAnsi="Times New Roman"/>
          <w:i/>
        </w:rPr>
        <w:t>.</w:t>
      </w:r>
      <w:r w:rsidRPr="00367BEC">
        <w:rPr>
          <w:rFonts w:ascii="Times New Roman" w:hAnsi="Times New Roman"/>
        </w:rPr>
        <w:t xml:space="preserve"> Esta herramienta incluye 14 preguntas sobre conceptos clave para evaluar la validez interna de un estudio. La calidad de cada estudio se calificó de mala, regular o buena a tenor de las respuestas individuales a cada una de las preguntas.</w:t>
      </w:r>
    </w:p>
    <w:p w14:paraId="0C455F11" w14:textId="52601FD4" w:rsidR="00CB4836" w:rsidRPr="00367BEC" w:rsidRDefault="000D40A6" w:rsidP="00CF1C1E">
      <w:pPr>
        <w:spacing w:after="0" w:line="480" w:lineRule="auto"/>
        <w:jc w:val="both"/>
        <w:rPr>
          <w:rStyle w:val="Textoennegrita"/>
        </w:rPr>
      </w:pPr>
      <w:r w:rsidRPr="00367BEC">
        <w:rPr>
          <w:rStyle w:val="Textoennegrita"/>
        </w:rPr>
        <w:t>Resumen de los datos</w:t>
      </w:r>
    </w:p>
    <w:p w14:paraId="184723BC" w14:textId="35782DB4" w:rsidR="00DC5798" w:rsidRPr="00367BEC" w:rsidRDefault="00DC5798" w:rsidP="00CF1C1E">
      <w:pPr>
        <w:spacing w:after="0" w:line="480" w:lineRule="auto"/>
        <w:jc w:val="both"/>
        <w:rPr>
          <w:rFonts w:ascii="Times New Roman" w:hAnsi="Times New Roman" w:cs="Times New Roman"/>
        </w:rPr>
      </w:pPr>
      <w:r w:rsidRPr="00367BEC">
        <w:rPr>
          <w:rFonts w:ascii="Times New Roman" w:hAnsi="Times New Roman"/>
        </w:rPr>
        <w:t xml:space="preserve">Con la finalidad de facilitar la interpretación de los datos y permitir las comparaciones entre los estudios, los tratamientos analgésicos previos y concomitantes se clasificaron según la escalera analgésica de tres peldaños de la Organización Mundial de la Salud para el tratamiento del dolor relacionado con el cáncer, como «no opioides», «opioides débiles» (codeína, tramadol) y «opioides potentes» (fentanilo, morfina, metadona, oxicodona-naloxona) </w:t>
      </w:r>
      <w:r w:rsidR="0008759E"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O0O01XC4","properties":{"formattedCitation":"(7)","plainCitation":"(7)","noteIndex":0},"citationItems":[{"id":44030,"uris":["http://zotero.org/groups/2141613/items/MEC3ZAW4"],"uri":["http://zotero.org/groups/2141613/items/MEC3ZAW4"],"itemData":{"id":44030,"type":"book","abstract":"Cancers are among the leading causes of morbidity and mortality worldwide, responsible for 18.1 million new cases and 9.6 million deaths in 2018. Pain is experienced by 55% of patients undergoing anti-cancer treatment and by 66% of patients who have advanced, metastatic, or terminal disease. This can be relieved in most cases through medicines and other treatments. The World Health Organization (WHO) has developed Guidelines for the pharmacologic and radiotherapeutic management of cancer pain in adults and adolescents to provide evidence-based guidance to initiating and managing cancer pain. The aims of these guidelines are to provide guidance to health-care providers (i.e. the end-users of these guidelines: physicians, nurses, pharmacists and caregivers) on the adequate relief of pain associated with cancer. They also assist policy-makers, programme managers and public health personnel to create and facilitate appropriately balanced policies on opioids and prescribing regulations for effective and safe cancer pain management. Proper and effective stewardship of opioid analgesics in the cancer treatment setting is essential to ensure the safety of patients and to reduce the risk of diversion of medicine into society. The goal of cancer pain management is to relieve pain to a level that allows for an acceptable quality of life. The last set of WHO guidelines focused on cancer pain management were issued in 1996. The clinical guidelines and recommendations in this document are organized into three focal areas: - Analgesia of cancer pain: This addresses the choice of analgesic medicine when initiating pain relief and the choice of opioid for maintenance of pain relief, including optimization of rescue medication, route of administration, and opioid rotation and cessation. - Adjuvant medicines for cancer pain: This includes the use of steroids, antidepressants and anticonvulsants as adjuvant medicines. - Management of pain related to bone metastases: This incorporates the use of bisphosphonates and radiotherapy to manage bone metastases.","language":"English","note":"OCLC: 1091585471","source":"Open WorldCat","title":"WHO guidelines for the pharmacological and radiotherapeutic management of cancer pain in adults and adolescents.","URL":"http://www.ncbi.nlm.nih.gov/books/NBK537492/","author":[{"literal":"World Health Organization"}],"accessed":{"date-parts":[["2019",7,17]]},"issued":{"date-parts":[["2018"]]}}}],"schema":"https://github.com/citation-style-language/schema/raw/master/csl-citation.json"} </w:instrText>
      </w:r>
      <w:r w:rsidR="0008759E" w:rsidRPr="00367BEC">
        <w:rPr>
          <w:rFonts w:ascii="Times New Roman" w:hAnsi="Times New Roman" w:cs="Times New Roman"/>
        </w:rPr>
        <w:fldChar w:fldCharType="separate"/>
      </w:r>
      <w:r w:rsidR="00C56A05" w:rsidRPr="00367BEC">
        <w:rPr>
          <w:rFonts w:ascii="Times New Roman" w:hAnsi="Times New Roman" w:cs="Times New Roman"/>
        </w:rPr>
        <w:t>(7)</w:t>
      </w:r>
      <w:r w:rsidR="0008759E" w:rsidRPr="00367BEC">
        <w:rPr>
          <w:rFonts w:ascii="Times New Roman" w:hAnsi="Times New Roman" w:cs="Times New Roman"/>
        </w:rPr>
        <w:fldChar w:fldCharType="end"/>
      </w:r>
      <w:r w:rsidRPr="00367BEC">
        <w:rPr>
          <w:rFonts w:ascii="Times New Roman" w:hAnsi="Times New Roman"/>
        </w:rPr>
        <w:t xml:space="preserve">. </w:t>
      </w:r>
    </w:p>
    <w:p w14:paraId="41401628" w14:textId="3A21F5AD" w:rsidR="0087645C" w:rsidRPr="00367BEC" w:rsidRDefault="00DC5798" w:rsidP="00CF1C1E">
      <w:pPr>
        <w:spacing w:after="0" w:line="480" w:lineRule="auto"/>
        <w:jc w:val="both"/>
        <w:rPr>
          <w:rFonts w:ascii="Times New Roman" w:hAnsi="Times New Roman" w:cs="Times New Roman"/>
        </w:rPr>
      </w:pPr>
      <w:r w:rsidRPr="00367BEC">
        <w:rPr>
          <w:rFonts w:ascii="Times New Roman" w:hAnsi="Times New Roman"/>
        </w:rPr>
        <w:lastRenderedPageBreak/>
        <w:t>Las variables continuas se presentan como la media (desviación estándar) o la mediana [</w:t>
      </w:r>
      <w:r w:rsidR="003C66E0">
        <w:rPr>
          <w:rFonts w:ascii="Times New Roman" w:hAnsi="Times New Roman"/>
        </w:rPr>
        <w:t>rango</w:t>
      </w:r>
      <w:r w:rsidR="003C66E0" w:rsidRPr="00367BEC">
        <w:rPr>
          <w:rFonts w:ascii="Times New Roman" w:hAnsi="Times New Roman"/>
        </w:rPr>
        <w:t xml:space="preserve"> </w:t>
      </w:r>
      <w:r w:rsidRPr="00367BEC">
        <w:rPr>
          <w:rFonts w:ascii="Times New Roman" w:hAnsi="Times New Roman"/>
        </w:rPr>
        <w:t>intercuartílic</w:t>
      </w:r>
      <w:r w:rsidR="003C66E0">
        <w:rPr>
          <w:rFonts w:ascii="Times New Roman" w:hAnsi="Times New Roman"/>
        </w:rPr>
        <w:t>o</w:t>
      </w:r>
      <w:r w:rsidRPr="00367BEC">
        <w:rPr>
          <w:rFonts w:ascii="Times New Roman" w:hAnsi="Times New Roman"/>
        </w:rPr>
        <w:t xml:space="preserve">, </w:t>
      </w:r>
      <w:r w:rsidR="003C66E0">
        <w:rPr>
          <w:rFonts w:ascii="Times New Roman" w:hAnsi="Times New Roman"/>
        </w:rPr>
        <w:t>R</w:t>
      </w:r>
      <w:r w:rsidR="003C66E0" w:rsidRPr="00367BEC">
        <w:rPr>
          <w:rFonts w:ascii="Times New Roman" w:hAnsi="Times New Roman"/>
        </w:rPr>
        <w:t>IC</w:t>
      </w:r>
      <w:r w:rsidRPr="00367BEC">
        <w:rPr>
          <w:rFonts w:ascii="Times New Roman" w:hAnsi="Times New Roman"/>
        </w:rPr>
        <w:t>], y las variables categóricas se presentan como frecuencias relativas en porcentaje (n/N), a menos que se indique lo contrario. Además, el cambio en el tiempo se presenta como la diferencia absoluta y relativa (%) entre el inicio y el final del periodo de observación. En los casos en que se pudieron obtener datos no notificados a partir de otros datos notificados, se hizo un cálculo estimado. Los criterios de valoración se han notificado como variables continuas (puntuación) o variables categóricas (respuesta) y se han clasificado en relación con la analgesia, el dolor neuropático, la calidad de vida y/u otros factores.</w:t>
      </w:r>
    </w:p>
    <w:p w14:paraId="70385193" w14:textId="77777777" w:rsidR="00CF1C1E" w:rsidRPr="00367BEC" w:rsidRDefault="00CF1C1E" w:rsidP="00CF1C1E">
      <w:pPr>
        <w:spacing w:before="120" w:after="120" w:line="480" w:lineRule="auto"/>
        <w:jc w:val="both"/>
        <w:rPr>
          <w:rFonts w:cstheme="minorHAnsi"/>
          <w:b/>
          <w:bCs/>
        </w:rPr>
      </w:pPr>
      <w:r w:rsidRPr="00367BEC">
        <w:rPr>
          <w:b/>
        </w:rPr>
        <w:t>RESULTADOS</w:t>
      </w:r>
    </w:p>
    <w:p w14:paraId="0D79F43A" w14:textId="29F0483E" w:rsidR="00CB4836" w:rsidRPr="00367BEC" w:rsidRDefault="0030460C" w:rsidP="00CF1C1E">
      <w:pPr>
        <w:spacing w:after="0" w:line="480" w:lineRule="auto"/>
        <w:jc w:val="both"/>
        <w:rPr>
          <w:rStyle w:val="Textoennegrita"/>
        </w:rPr>
      </w:pPr>
      <w:r w:rsidRPr="00367BEC">
        <w:rPr>
          <w:rStyle w:val="Textoennegrita"/>
        </w:rPr>
        <w:t>Selección de estudios</w:t>
      </w:r>
    </w:p>
    <w:p w14:paraId="22EB31BD" w14:textId="51812AA1" w:rsidR="001B5DFA" w:rsidRPr="00367BEC" w:rsidRDefault="00EF5939" w:rsidP="00CF1C1E">
      <w:pPr>
        <w:spacing w:after="0" w:line="480" w:lineRule="auto"/>
        <w:jc w:val="both"/>
        <w:rPr>
          <w:rFonts w:ascii="Times New Roman" w:hAnsi="Times New Roman" w:cs="Times New Roman"/>
        </w:rPr>
      </w:pPr>
      <w:r w:rsidRPr="00367BEC">
        <w:rPr>
          <w:rFonts w:ascii="Times New Roman" w:hAnsi="Times New Roman"/>
        </w:rPr>
        <w:t xml:space="preserve">Mediante la estrategia de búsqueda utilizada se identificaron 128 estudios en </w:t>
      </w:r>
      <w:proofErr w:type="spellStart"/>
      <w:r w:rsidRPr="00367BEC">
        <w:rPr>
          <w:rFonts w:ascii="Times New Roman" w:hAnsi="Times New Roman"/>
        </w:rPr>
        <w:t>Embase</w:t>
      </w:r>
      <w:proofErr w:type="spellEnd"/>
      <w:r w:rsidRPr="00367BEC">
        <w:rPr>
          <w:rFonts w:ascii="Times New Roman" w:hAnsi="Times New Roman"/>
          <w:vertAlign w:val="superscript"/>
        </w:rPr>
        <w:t>®</w:t>
      </w:r>
      <w:r w:rsidRPr="00367BEC">
        <w:rPr>
          <w:rFonts w:ascii="Times New Roman" w:hAnsi="Times New Roman"/>
        </w:rPr>
        <w:t>, 57 estudios en PubMed</w:t>
      </w:r>
      <w:r w:rsidRPr="00367BEC">
        <w:rPr>
          <w:rFonts w:ascii="Times New Roman" w:hAnsi="Times New Roman"/>
          <w:vertAlign w:val="superscript"/>
        </w:rPr>
        <w:t>®</w:t>
      </w:r>
      <w:r w:rsidRPr="00367BEC">
        <w:rPr>
          <w:rFonts w:ascii="Times New Roman" w:hAnsi="Times New Roman"/>
        </w:rPr>
        <w:t xml:space="preserve"> y 23 estudios en la base de datos </w:t>
      </w:r>
      <w:r w:rsidRPr="00170D2E">
        <w:rPr>
          <w:rFonts w:ascii="Times New Roman" w:hAnsi="Times New Roman"/>
          <w:i/>
          <w:iCs/>
        </w:rPr>
        <w:t xml:space="preserve">Cochrane </w:t>
      </w:r>
      <w:proofErr w:type="spellStart"/>
      <w:r w:rsidRPr="00170D2E">
        <w:rPr>
          <w:rFonts w:ascii="Times New Roman" w:hAnsi="Times New Roman"/>
          <w:i/>
          <w:iCs/>
        </w:rPr>
        <w:t>Database</w:t>
      </w:r>
      <w:proofErr w:type="spellEnd"/>
      <w:r w:rsidRPr="00170D2E">
        <w:rPr>
          <w:rFonts w:ascii="Times New Roman" w:hAnsi="Times New Roman"/>
          <w:i/>
          <w:iCs/>
        </w:rPr>
        <w:t xml:space="preserve"> </w:t>
      </w:r>
      <w:proofErr w:type="spellStart"/>
      <w:r w:rsidRPr="00170D2E">
        <w:rPr>
          <w:rFonts w:ascii="Times New Roman" w:hAnsi="Times New Roman"/>
          <w:i/>
          <w:iCs/>
        </w:rPr>
        <w:t>of</w:t>
      </w:r>
      <w:proofErr w:type="spellEnd"/>
      <w:r w:rsidRPr="00170D2E">
        <w:rPr>
          <w:rFonts w:ascii="Times New Roman" w:hAnsi="Times New Roman"/>
          <w:i/>
          <w:iCs/>
        </w:rPr>
        <w:t xml:space="preserve"> </w:t>
      </w:r>
      <w:proofErr w:type="spellStart"/>
      <w:r w:rsidRPr="00170D2E">
        <w:rPr>
          <w:rFonts w:ascii="Times New Roman" w:hAnsi="Times New Roman"/>
          <w:i/>
          <w:iCs/>
        </w:rPr>
        <w:t>Systematic</w:t>
      </w:r>
      <w:proofErr w:type="spellEnd"/>
      <w:r w:rsidRPr="00170D2E">
        <w:rPr>
          <w:rFonts w:ascii="Times New Roman" w:hAnsi="Times New Roman"/>
          <w:i/>
          <w:iCs/>
        </w:rPr>
        <w:t xml:space="preserve"> </w:t>
      </w:r>
      <w:proofErr w:type="spellStart"/>
      <w:r w:rsidRPr="00170D2E">
        <w:rPr>
          <w:rFonts w:ascii="Times New Roman" w:hAnsi="Times New Roman"/>
          <w:i/>
          <w:iCs/>
        </w:rPr>
        <w:t>Reviews</w:t>
      </w:r>
      <w:proofErr w:type="spellEnd"/>
      <w:r w:rsidRPr="00367BEC">
        <w:rPr>
          <w:rFonts w:ascii="Times New Roman" w:hAnsi="Times New Roman"/>
        </w:rPr>
        <w:t xml:space="preserve">, que, en conjunto, quedaron en 177 registros una vez eliminados los duplicados. Tras el cribado de los títulos, los resúmenes y los textos completos, se seleccionaron 14 estudios para ser incluidos en la revisión sistemática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1YkBHOdz","properties":{"formattedCitation":"(8\\uc0\\u8211{}21)","plainCitation":"(8–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(8–21)</w:t>
      </w:r>
      <w:r w:rsidR="009334A5" w:rsidRPr="00367BEC">
        <w:rPr>
          <w:rFonts w:ascii="Times New Roman" w:hAnsi="Times New Roman" w:cs="Times New Roman"/>
        </w:rPr>
        <w:fldChar w:fldCharType="end"/>
      </w:r>
      <w:r w:rsidRPr="00367BEC">
        <w:rPr>
          <w:rFonts w:ascii="Times New Roman" w:hAnsi="Times New Roman"/>
        </w:rPr>
        <w:t>. En la Figura 1 se muestra un diagrama de flujo que describe en detalle el proceso de selección de los estudios.</w:t>
      </w:r>
    </w:p>
    <w:p w14:paraId="6A95912F" w14:textId="77777777" w:rsidR="00964C8A" w:rsidRPr="00367BEC" w:rsidRDefault="000A5DAD" w:rsidP="000A5DAD">
      <w:pPr>
        <w:spacing w:after="0" w:line="480" w:lineRule="auto"/>
        <w:jc w:val="both"/>
        <w:rPr>
          <w:rFonts w:ascii="Times New Roman" w:hAnsi="Times New Roman" w:cs="Times New Roman"/>
        </w:rPr>
      </w:pPr>
      <w:r w:rsidRPr="00367BEC">
        <w:rPr>
          <w:rFonts w:ascii="Times New Roman" w:hAnsi="Times New Roman"/>
        </w:rPr>
        <w:t>Figura 1. Diagrama de flujo de la selección de estudios</w:t>
      </w:r>
    </w:p>
    <w:p w14:paraId="207786E8" w14:textId="06EF9CB5" w:rsidR="00DD77CA" w:rsidRPr="00367BEC" w:rsidRDefault="000A5DAD" w:rsidP="000A5DAD">
      <w:pPr>
        <w:spacing w:after="0" w:line="480" w:lineRule="auto"/>
        <w:jc w:val="both"/>
        <w:rPr>
          <w:rStyle w:val="Textoennegrita"/>
          <w:rFonts w:ascii="Times New Roman" w:hAnsi="Times New Roman" w:cs="Times New Roman"/>
          <w:b w:val="0"/>
          <w:bCs w:val="0"/>
        </w:rPr>
      </w:pPr>
      <w:r w:rsidRPr="00367BEC">
        <w:rPr>
          <w:noProof/>
        </w:rPr>
        <w:lastRenderedPageBreak/>
        <w:drawing>
          <wp:inline distT="0" distB="0" distL="0" distR="0" wp14:anchorId="753B964B" wp14:editId="5ABA6A5E">
            <wp:extent cx="4295775" cy="443469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4963" cy="4464823"/>
                    </a:xfrm>
                    <a:prstGeom prst="rect">
                      <a:avLst/>
                    </a:prstGeom>
                  </pic:spPr>
                </pic:pic>
              </a:graphicData>
            </a:graphic>
          </wp:inline>
        </w:drawing>
      </w:r>
      <w:r w:rsidRPr="00367BEC">
        <w:rPr>
          <w:rStyle w:val="Textoennegrita"/>
          <w:rFonts w:ascii="Times New Roman" w:hAnsi="Times New Roman"/>
          <w:b w:val="0"/>
        </w:rPr>
        <w:t xml:space="preserve"> </w:t>
      </w:r>
    </w:p>
    <w:p w14:paraId="497A06C3" w14:textId="246B1E6D" w:rsidR="00CD5CBB" w:rsidRPr="00367BEC" w:rsidRDefault="00C916E2" w:rsidP="00CF1C1E">
      <w:pPr>
        <w:spacing w:after="0" w:line="480" w:lineRule="auto"/>
        <w:jc w:val="both"/>
        <w:rPr>
          <w:rStyle w:val="Textoennegrita"/>
        </w:rPr>
      </w:pPr>
      <w:r w:rsidRPr="00367BEC">
        <w:rPr>
          <w:rStyle w:val="Textoennegrita"/>
        </w:rPr>
        <w:t>Características de los estudios</w:t>
      </w:r>
    </w:p>
    <w:p w14:paraId="160FADC2" w14:textId="43DAC48A" w:rsidR="00B840A5" w:rsidRPr="00367BEC" w:rsidRDefault="00854DBC" w:rsidP="00CF1C1E">
      <w:pPr>
        <w:spacing w:after="0" w:line="480" w:lineRule="auto"/>
        <w:jc w:val="both"/>
        <w:rPr>
          <w:rFonts w:ascii="Times New Roman" w:hAnsi="Times New Roman" w:cs="Times New Roman"/>
          <w:iCs/>
        </w:rPr>
      </w:pPr>
      <w:r w:rsidRPr="00367BEC">
        <w:rPr>
          <w:rFonts w:ascii="Times New Roman" w:hAnsi="Times New Roman"/>
        </w:rPr>
        <w:t xml:space="preserve">Todos los estudios se llevaron a cabo en Europa. Más en concreto, 6/14 (42,9 %) estudios se llevaron a cabo en Italia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7RNfkbsk","properties":{"formattedCitation":"(8,9,11,14\\uc0\\u8211{}16)","plainCitation":"(8,9,11,14–16)","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(8,9,11,14–16)</w:t>
      </w:r>
      <w:r w:rsidR="009334A5" w:rsidRPr="00367BEC">
        <w:rPr>
          <w:rFonts w:ascii="Times New Roman" w:hAnsi="Times New Roman" w:cs="Times New Roman"/>
        </w:rPr>
        <w:fldChar w:fldCharType="end"/>
      </w:r>
      <w:r w:rsidRPr="00367BEC">
        <w:rPr>
          <w:rFonts w:ascii="Times New Roman" w:hAnsi="Times New Roman"/>
        </w:rPr>
        <w:t>, 6/14 (42,9 %) en Alemania</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M8DYjmtK","properties":{"formattedCitation":"(10,17\\uc0\\u8211{}21)","plainCitation":"(10,17–21)","noteIndex":0},"citationItems":[{"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(10,17–21)</w:t>
      </w:r>
      <w:r w:rsidR="009334A5" w:rsidRPr="00367BEC">
        <w:rPr>
          <w:rFonts w:ascii="Times New Roman" w:hAnsi="Times New Roman" w:cs="Times New Roman"/>
        </w:rPr>
        <w:fldChar w:fldCharType="end"/>
      </w:r>
      <w:r w:rsidRPr="00367BEC">
        <w:rPr>
          <w:rFonts w:ascii="Times New Roman" w:hAnsi="Times New Roman"/>
        </w:rPr>
        <w:t xml:space="preserve"> y 2/14 (14,3 %) en España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6vgb8LoX","properties":{"formattedCitation":"(12,13)","plainCitation":"(12,13)","noteIndex":0},"citationItems":[{"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(12,13)</w:t>
      </w:r>
      <w:r w:rsidR="009334A5" w:rsidRPr="00367BEC">
        <w:rPr>
          <w:rFonts w:ascii="Times New Roman" w:hAnsi="Times New Roman" w:cs="Times New Roman"/>
        </w:rPr>
        <w:fldChar w:fldCharType="end"/>
      </w:r>
      <w:r w:rsidRPr="00367BEC">
        <w:rPr>
          <w:rFonts w:ascii="Times New Roman" w:hAnsi="Times New Roman"/>
        </w:rPr>
        <w:t xml:space="preserve">. Además, todos ellos fueron estudios de cohortes observacionales, de los cuales 10/14 (71,4 %) fueron prospectivos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fx2wKrD1","properties":{"formattedCitation":"(8,10,11,13,14,16\\uc0\\u8211{}20)","plainCitation":"(8,10,11,13,14,16–20)","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(8,10,11,13,14,16–20)</w:t>
      </w:r>
      <w:r w:rsidR="009334A5" w:rsidRPr="00367BEC">
        <w:rPr>
          <w:rFonts w:ascii="Times New Roman" w:hAnsi="Times New Roman" w:cs="Times New Roman"/>
        </w:rPr>
        <w:fldChar w:fldCharType="end"/>
      </w:r>
      <w:r w:rsidRPr="00367BEC">
        <w:rPr>
          <w:rFonts w:ascii="Times New Roman" w:hAnsi="Times New Roman"/>
        </w:rPr>
        <w:t>, 3/14 (21,4 %) retrospectivos</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1FSrLAhh","properties":{"formattedCitation":"(9,12,21)","plainCitation":"(9,12,21)","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(9,12,21)</w:t>
      </w:r>
      <w:r w:rsidR="009334A5" w:rsidRPr="00367BEC">
        <w:rPr>
          <w:rFonts w:ascii="Times New Roman" w:hAnsi="Times New Roman" w:cs="Times New Roman"/>
        </w:rPr>
        <w:fldChar w:fldCharType="end"/>
      </w:r>
      <w:r w:rsidRPr="00367BEC">
        <w:rPr>
          <w:rFonts w:ascii="Times New Roman" w:hAnsi="Times New Roman"/>
        </w:rPr>
        <w:t xml:space="preserve"> y 1/14 (7,1 %) una combinación de prospectivos y retrospectivos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v7xpzS0F","properties":{"formattedCitation":"(15)","plainCitation":"(15)","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(15)</w:t>
      </w:r>
      <w:r w:rsidR="009334A5" w:rsidRPr="00367BEC">
        <w:rPr>
          <w:rFonts w:ascii="Times New Roman" w:hAnsi="Times New Roman" w:cs="Times New Roman"/>
        </w:rPr>
        <w:fldChar w:fldCharType="end"/>
      </w:r>
      <w:r w:rsidRPr="00367BEC">
        <w:rPr>
          <w:rFonts w:ascii="Times New Roman" w:hAnsi="Times New Roman"/>
        </w:rPr>
        <w:t xml:space="preserve">. La duración del estudio se notificó en 12/14 (85,7 %) estudios; así, 9/12 (75,0 %) estudios tuvieron una duración de 12 semanas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iP9sDRNU","properties":{"formattedCitation":"(8,10,12,16\\uc0\\u8211{}21)","plainCitation":"(8,10,12,16–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(8,10,12,16–21)</w:t>
      </w:r>
      <w:r w:rsidR="009334A5" w:rsidRPr="00367BEC">
        <w:rPr>
          <w:rFonts w:ascii="Times New Roman" w:hAnsi="Times New Roman" w:cs="Times New Roman"/>
        </w:rPr>
        <w:fldChar w:fldCharType="end"/>
      </w:r>
      <w:r w:rsidRPr="00367BEC">
        <w:rPr>
          <w:rFonts w:ascii="Times New Roman" w:hAnsi="Times New Roman"/>
        </w:rPr>
        <w:t>, 2/12 (16,7 %) tuvieron una duración de 4 semana</w:t>
      </w:r>
      <w:r w:rsidR="004A3917">
        <w:rPr>
          <w:rFonts w:ascii="Times New Roman" w:hAnsi="Times New Roman"/>
        </w:rPr>
        <w:t xml:space="preserve">s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0iOU7MgL","properties":{"formattedCitation":"(9,14)","plainCitation":"(9,14)","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(9,14)</w:t>
      </w:r>
      <w:r w:rsidR="009334A5" w:rsidRPr="00367BEC">
        <w:rPr>
          <w:rFonts w:ascii="Times New Roman" w:hAnsi="Times New Roman" w:cs="Times New Roman"/>
        </w:rPr>
        <w:fldChar w:fldCharType="end"/>
      </w:r>
      <w:r w:rsidRPr="00367BEC">
        <w:rPr>
          <w:rFonts w:ascii="Times New Roman" w:hAnsi="Times New Roman"/>
        </w:rPr>
        <w:t xml:space="preserve"> y 1/12 (8,3 %) tuvieron una duración de 24 semanas </w:t>
      </w:r>
      <w:r w:rsidR="009334A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ImWinfSF","properties":{"formattedCitation":"(15)","plainCitation":"(15)","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C."}],"issued":{"date-parts":[["2017"]]}}}],"schema":"https://github.com/citation-style-language/schema/raw/master/csl-citation.json"} </w:instrText>
      </w:r>
      <w:r w:rsidR="009334A5" w:rsidRPr="00367BEC">
        <w:rPr>
          <w:rFonts w:ascii="Times New Roman" w:hAnsi="Times New Roman" w:cs="Times New Roman"/>
        </w:rPr>
        <w:fldChar w:fldCharType="separate"/>
      </w:r>
      <w:r w:rsidR="00C56A05" w:rsidRPr="00367BEC">
        <w:rPr>
          <w:rFonts w:ascii="Times New Roman" w:hAnsi="Times New Roman" w:cs="Times New Roman"/>
        </w:rPr>
        <w:t>(15)</w:t>
      </w:r>
      <w:r w:rsidR="009334A5" w:rsidRPr="00367BEC">
        <w:rPr>
          <w:rFonts w:ascii="Times New Roman" w:hAnsi="Times New Roman" w:cs="Times New Roman"/>
        </w:rPr>
        <w:fldChar w:fldCharType="end"/>
      </w:r>
      <w:r w:rsidRPr="00367BEC">
        <w:rPr>
          <w:rFonts w:ascii="Times New Roman" w:hAnsi="Times New Roman"/>
        </w:rPr>
        <w:t>. En la Tabla 1 se muestra una descripción detallada de las características de cada uno de los estudios.</w:t>
      </w:r>
    </w:p>
    <w:p w14:paraId="1C40AD5F" w14:textId="5CEFA01E" w:rsidR="00035E5D" w:rsidRPr="00367BEC" w:rsidRDefault="00E91FB9" w:rsidP="00CF1C1E">
      <w:pPr>
        <w:spacing w:after="0" w:line="480" w:lineRule="auto"/>
        <w:jc w:val="both"/>
        <w:rPr>
          <w:rFonts w:ascii="Times New Roman" w:hAnsi="Times New Roman" w:cs="Times New Roman"/>
          <w:i/>
          <w:iCs/>
        </w:rPr>
      </w:pPr>
      <w:r w:rsidRPr="00367BEC">
        <w:rPr>
          <w:rFonts w:ascii="Times New Roman" w:hAnsi="Times New Roman"/>
          <w:i/>
        </w:rPr>
        <w:t xml:space="preserve">Participantes </w:t>
      </w:r>
    </w:p>
    <w:p w14:paraId="408D11A4" w14:textId="30984015" w:rsidR="00B840A5" w:rsidRPr="00367BEC" w:rsidRDefault="00B7524A" w:rsidP="00CF1C1E">
      <w:pPr>
        <w:spacing w:after="0" w:line="480" w:lineRule="auto"/>
        <w:jc w:val="both"/>
        <w:rPr>
          <w:rFonts w:ascii="Times New Roman" w:hAnsi="Times New Roman" w:cs="Times New Roman"/>
          <w:iCs/>
        </w:rPr>
      </w:pPr>
      <w:r w:rsidRPr="00367BEC">
        <w:rPr>
          <w:rFonts w:ascii="Times New Roman" w:hAnsi="Times New Roman"/>
        </w:rPr>
        <w:t xml:space="preserve">El tamaño de muestra de los estudios seleccionados osciló entre 25 y 3134 participantes, con una mediana de 53,5 [99,0] entre los estudios. La edad de los participantes fue de 47,6 a 72,5 años, </w:t>
      </w:r>
      <w:r w:rsidRPr="00367BEC">
        <w:rPr>
          <w:rFonts w:ascii="Times New Roman" w:hAnsi="Times New Roman"/>
        </w:rPr>
        <w:lastRenderedPageBreak/>
        <w:t xml:space="preserve">con una mediana de 66,6 [5,8] años entre los estudios. La proporción de participantes varones osciló entre el 18,5 y el 66,0 %, con una mediana de la proporción del 39,9 [14,6] % entre los estudios. </w:t>
      </w:r>
    </w:p>
    <w:p w14:paraId="4DAFE93F" w14:textId="5540ED6E" w:rsidR="00DA0B5B" w:rsidRPr="00367BEC" w:rsidRDefault="00A22733" w:rsidP="00CF1C1E">
      <w:pPr>
        <w:spacing w:after="0" w:line="480" w:lineRule="auto"/>
        <w:jc w:val="both"/>
        <w:rPr>
          <w:rFonts w:ascii="Times New Roman" w:hAnsi="Times New Roman" w:cs="Times New Roman"/>
          <w:iCs/>
        </w:rPr>
      </w:pPr>
      <w:r w:rsidRPr="00367BEC">
        <w:rPr>
          <w:rFonts w:ascii="Times New Roman" w:hAnsi="Times New Roman"/>
        </w:rPr>
        <w:t>De todos los estudios seleccionados, 8/14 (57,1 %) se centraron, predominantemente, en el control del dolor de origen musculoesquelético no relacionado con el cáncer</w:t>
      </w:r>
      <w:r w:rsidR="004A3917">
        <w:rPr>
          <w:rFonts w:ascii="Times New Roman" w:hAnsi="Times New Roman"/>
        </w:rPr>
        <w:t xml:space="preserve">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tfHrdsd7","properties":{"formattedCitation":"(8,11,12,15,16,19\\uc0\\u8211{}21)","plainCitation":"(8,11,12,15,16,19–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(8,11,12,15,16,19–21)</w:t>
      </w:r>
      <w:r w:rsidR="00E93AD3" w:rsidRPr="00367BEC">
        <w:rPr>
          <w:rFonts w:ascii="Times New Roman" w:hAnsi="Times New Roman" w:cs="Times New Roman"/>
        </w:rPr>
        <w:fldChar w:fldCharType="end"/>
      </w:r>
      <w:r w:rsidRPr="00367BEC">
        <w:rPr>
          <w:rFonts w:ascii="Times New Roman" w:hAnsi="Times New Roman"/>
        </w:rPr>
        <w:t xml:space="preserve"> y 6/14 (42,9 %) se centraron en el control del dolor relacionado con el cáncer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OZQvB3oA","properties":{"formattedCitation":"(9,10,13,14,17,18)","plainCitation":"(9,10,13,14,17,18)","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(9,10,13,14,17,18)</w:t>
      </w:r>
      <w:r w:rsidR="00E93AD3" w:rsidRPr="00367BEC">
        <w:rPr>
          <w:rFonts w:ascii="Times New Roman" w:hAnsi="Times New Roman" w:cs="Times New Roman"/>
        </w:rPr>
        <w:fldChar w:fldCharType="end"/>
      </w:r>
      <w:r w:rsidRPr="00367BEC">
        <w:rPr>
          <w:rFonts w:ascii="Times New Roman" w:hAnsi="Times New Roman"/>
        </w:rPr>
        <w:t xml:space="preserve">. La etiología del dolor se notificó en 12/14 (85,7 %) estudios: la proporción de pacientes con dolor predominantemente neuropático fue de entre el 0,7 y el 100 %, con una mediana de la proporción del 33,9 [63,9] % entre los estudios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NOeYYaAK","properties":{"formattedCitation":"(8\\uc0\\u8211{}11,13\\uc0\\u8211{}15,17\\uc0\\u8211{}21)","plainCitation":"(8–11,13–15,17–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(8–11,13–15,17–21)</w:t>
      </w:r>
      <w:r w:rsidR="00E93AD3" w:rsidRPr="00367BEC">
        <w:rPr>
          <w:rFonts w:ascii="Times New Roman" w:hAnsi="Times New Roman" w:cs="Times New Roman"/>
        </w:rPr>
        <w:fldChar w:fldCharType="end"/>
      </w:r>
      <w:r w:rsidRPr="00367BEC">
        <w:rPr>
          <w:rFonts w:ascii="Times New Roman" w:hAnsi="Times New Roman"/>
        </w:rPr>
        <w:t xml:space="preserve">; en 6/12 (50,0 %) se notificó una proporción de pacientes con dolor mixto del 27,0 al 85,3 %, con una mediana de la proporción del 73,8 [16,0] % entre los estudios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bVGDZ4Xp","properties":{"formattedCitation":"(9,17\\uc0\\u8211{}21)","plainCitation":"(9,17–21)","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(9,17–21)</w:t>
      </w:r>
      <w:r w:rsidR="00E93AD3" w:rsidRPr="00367BEC">
        <w:rPr>
          <w:rFonts w:ascii="Times New Roman" w:hAnsi="Times New Roman" w:cs="Times New Roman"/>
        </w:rPr>
        <w:fldChar w:fldCharType="end"/>
      </w:r>
      <w:r w:rsidRPr="00367BEC">
        <w:rPr>
          <w:rFonts w:ascii="Times New Roman" w:hAnsi="Times New Roman"/>
        </w:rPr>
        <w:t xml:space="preserve">; y en 5/12 (41,7 %) se notificó una proporción de pacientes con dolor predominantemente </w:t>
      </w:r>
      <w:r w:rsidR="00761D01">
        <w:rPr>
          <w:rFonts w:ascii="Times New Roman" w:hAnsi="Times New Roman"/>
        </w:rPr>
        <w:t>nociceptivo</w:t>
      </w:r>
      <w:r w:rsidRPr="00367BEC">
        <w:rPr>
          <w:rFonts w:ascii="Times New Roman" w:hAnsi="Times New Roman"/>
        </w:rPr>
        <w:t xml:space="preserve"> del 4,9 al 42,0 %, con una mediana de la proporción del 33,9 [63,9] % entre los estudios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xLyPnnFh","properties":{"formattedCitation":"(9,17\\uc0\\u8211{}20)","plainCitation":"(9,17–20)","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(9,17–20)</w:t>
      </w:r>
      <w:r w:rsidR="00E93AD3" w:rsidRPr="00367BEC">
        <w:rPr>
          <w:rFonts w:ascii="Times New Roman" w:hAnsi="Times New Roman" w:cs="Times New Roman"/>
        </w:rPr>
        <w:fldChar w:fldCharType="end"/>
      </w:r>
      <w:r w:rsidRPr="00367BEC">
        <w:rPr>
          <w:rFonts w:ascii="Times New Roman" w:hAnsi="Times New Roman"/>
        </w:rPr>
        <w:t xml:space="preserve">. Se notificaron comorbilidades en 8/14 (57,1 %) estudios, y en 8/8 (100 %) se notificó al menos una comorbilidad con una proporción ≥10 %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arts4sst","properties":{"formattedCitation":"(11,12,15\\uc0\\u8211{}20)","plainCitation":"(11,12,15–20)","noteIndex":0},"citationItems":[{"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(11,12,15–20)</w:t>
      </w:r>
      <w:r w:rsidR="00E93AD3" w:rsidRPr="00367BEC">
        <w:rPr>
          <w:rFonts w:ascii="Times New Roman" w:hAnsi="Times New Roman" w:cs="Times New Roman"/>
        </w:rPr>
        <w:fldChar w:fldCharType="end"/>
      </w:r>
      <w:r w:rsidRPr="00367BEC">
        <w:rPr>
          <w:rFonts w:ascii="Times New Roman" w:hAnsi="Times New Roman"/>
        </w:rPr>
        <w:t xml:space="preserve">. Hubo una presencia de hipertensión ≥10 % de la muestra en 5/8 (62,5 %) estudios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9pOkrIhF","properties":{"formattedCitation":"(11,12,15\\uc0\\u8211{}17)","plainCitation":"(11,12,15–17)","noteIndex":0},"citationItems":[{"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(11,12,15–17)</w:t>
      </w:r>
      <w:r w:rsidR="00E93AD3" w:rsidRPr="00367BEC">
        <w:rPr>
          <w:rFonts w:ascii="Times New Roman" w:hAnsi="Times New Roman" w:cs="Times New Roman"/>
        </w:rPr>
        <w:fldChar w:fldCharType="end"/>
      </w:r>
      <w:r w:rsidRPr="00367BEC">
        <w:rPr>
          <w:rFonts w:ascii="Times New Roman" w:hAnsi="Times New Roman"/>
        </w:rPr>
        <w:t xml:space="preserve">. Además, en 6/8 estudios (75,0 %) se notificaron múltiples comorbilidades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05jwjrvJ","properties":{"formattedCitation":"(11,12,15,18\\uc0\\u8211{}20)","plainCitation":"(11,12,15,18–20)","noteIndex":0},"citationItems":[{"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(11,12,15,18–20)</w:t>
      </w:r>
      <w:r w:rsidR="00E93AD3" w:rsidRPr="00367BEC">
        <w:rPr>
          <w:rFonts w:ascii="Times New Roman" w:hAnsi="Times New Roman" w:cs="Times New Roman"/>
        </w:rPr>
        <w:fldChar w:fldCharType="end"/>
      </w:r>
      <w:r w:rsidRPr="00367BEC">
        <w:rPr>
          <w:rFonts w:ascii="Times New Roman" w:hAnsi="Times New Roman"/>
        </w:rPr>
        <w:t>. En la Tabla 1 se muestran en detalle las características de cada estudio.</w:t>
      </w:r>
    </w:p>
    <w:p w14:paraId="62E8D792" w14:textId="610900E0" w:rsidR="00035E5D" w:rsidRPr="00367BEC" w:rsidRDefault="00B840A5" w:rsidP="00CF1C1E">
      <w:pPr>
        <w:spacing w:after="0" w:line="480" w:lineRule="auto"/>
        <w:jc w:val="both"/>
        <w:rPr>
          <w:rFonts w:ascii="Times New Roman" w:hAnsi="Times New Roman" w:cs="Times New Roman"/>
          <w:i/>
          <w:iCs/>
        </w:rPr>
      </w:pPr>
      <w:r w:rsidRPr="00367BEC">
        <w:rPr>
          <w:rFonts w:ascii="Times New Roman" w:hAnsi="Times New Roman"/>
          <w:i/>
        </w:rPr>
        <w:t>Intervención</w:t>
      </w:r>
    </w:p>
    <w:p w14:paraId="736AF7D1" w14:textId="79E6FE2E" w:rsidR="003343CD" w:rsidRPr="00367BEC" w:rsidRDefault="00AB3F16" w:rsidP="00CF1C1E">
      <w:pPr>
        <w:spacing w:after="0" w:line="480" w:lineRule="auto"/>
        <w:jc w:val="both"/>
        <w:rPr>
          <w:rFonts w:ascii="Times New Roman" w:hAnsi="Times New Roman" w:cs="Times New Roman"/>
        </w:rPr>
      </w:pPr>
      <w:r w:rsidRPr="00367BEC">
        <w:rPr>
          <w:rFonts w:ascii="Times New Roman" w:hAnsi="Times New Roman"/>
        </w:rPr>
        <w:t xml:space="preserve">Para todos los estudios, se </w:t>
      </w:r>
      <w:r w:rsidR="00761D01">
        <w:rPr>
          <w:rFonts w:ascii="Times New Roman" w:hAnsi="Times New Roman"/>
        </w:rPr>
        <w:t>prescribió</w:t>
      </w:r>
      <w:r w:rsidRPr="00367BEC">
        <w:rPr>
          <w:rFonts w:ascii="Times New Roman" w:hAnsi="Times New Roman"/>
        </w:rPr>
        <w:t xml:space="preserve"> tapentadol a al menos una cohorte para controlar el dolor. La dosis al inicio de la intervención se describió en 13/14 (92,9 %) estudios, y fue de entre 50,0 mg/día y 196,0 (10,4) mg/día entre los estudios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XqH2sc6O","properties":{"formattedCitation":"(8\\uc0\\u8211{}10,12\\uc0\\u8211{}21)","plainCitation":"(8–10,12–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(8–10,12–21)</w:t>
      </w:r>
      <w:r w:rsidR="00E93AD3" w:rsidRPr="00367BEC">
        <w:rPr>
          <w:rFonts w:ascii="Times New Roman" w:hAnsi="Times New Roman" w:cs="Times New Roman"/>
        </w:rPr>
        <w:fldChar w:fldCharType="end"/>
      </w:r>
      <w:r w:rsidRPr="00367BEC">
        <w:rPr>
          <w:rFonts w:ascii="Times New Roman" w:hAnsi="Times New Roman"/>
        </w:rPr>
        <w:t xml:space="preserve">. La dosis al final del periodo de observación se describió en 11/14 (78,6 %) estudios, con una mediana de 213,6 [57,7] mg/día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nkLCaGTz","properties":{"formattedCitation":"(8,10,11,14\\uc0\\u8211{}21)","plainCitation":"(8,10,11,14–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(8,10,11,14–21)</w:t>
      </w:r>
      <w:r w:rsidR="00E93AD3" w:rsidRPr="00367BEC">
        <w:rPr>
          <w:rFonts w:ascii="Times New Roman" w:hAnsi="Times New Roman" w:cs="Times New Roman"/>
        </w:rPr>
        <w:fldChar w:fldCharType="end"/>
      </w:r>
      <w:r w:rsidRPr="00367BEC">
        <w:rPr>
          <w:rFonts w:ascii="Times New Roman" w:hAnsi="Times New Roman"/>
        </w:rPr>
        <w:t xml:space="preserve">. El cambio en la dosis de tapentadol a lo largo del periodo de observación pudo extraerse en 10/14 (71,4 %) estudios, y se observó un aumento a lo largo del estudio dentro de un intervalo del 30,1 al 259,1 % entre los estudios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Mv6YQYsg","properties":{"formattedCitation":"(8,10,14\\uc0\\u8211{}21)","plainCitation":"(8,10,14–21)","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(8,10,14–21)</w:t>
      </w:r>
      <w:r w:rsidR="00E93AD3" w:rsidRPr="00367BEC">
        <w:rPr>
          <w:rFonts w:ascii="Times New Roman" w:hAnsi="Times New Roman" w:cs="Times New Roman"/>
        </w:rPr>
        <w:fldChar w:fldCharType="end"/>
      </w:r>
      <w:r w:rsidRPr="00367BEC">
        <w:rPr>
          <w:rFonts w:ascii="Times New Roman" w:hAnsi="Times New Roman"/>
        </w:rPr>
        <w:t xml:space="preserve">. En cambio, en un estudio se observó una reducción de la dosis de tapentadol del 19,4 % entre el inicio y el final del periodo de observación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DjCfA2ot","properties":{"formattedCitation":"(15)","plainCitation":"(15)","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(15)</w:t>
      </w:r>
      <w:r w:rsidR="00E93AD3" w:rsidRPr="00367BEC">
        <w:rPr>
          <w:rFonts w:ascii="Times New Roman" w:hAnsi="Times New Roman" w:cs="Times New Roman"/>
        </w:rPr>
        <w:fldChar w:fldCharType="end"/>
      </w:r>
      <w:r w:rsidRPr="00367BEC">
        <w:rPr>
          <w:rFonts w:ascii="Times New Roman" w:hAnsi="Times New Roman"/>
        </w:rPr>
        <w:t xml:space="preserve">. Una vez clasificadas las dosis </w:t>
      </w:r>
      <w:r w:rsidR="00761D01">
        <w:rPr>
          <w:rFonts w:ascii="Times New Roman" w:hAnsi="Times New Roman"/>
        </w:rPr>
        <w:t>prescrita</w:t>
      </w:r>
      <w:r w:rsidRPr="00367BEC">
        <w:rPr>
          <w:rFonts w:ascii="Times New Roman" w:hAnsi="Times New Roman"/>
        </w:rPr>
        <w:t xml:space="preserve">s en intervalos de 50 mg/día a partir de </w:t>
      </w:r>
      <w:r w:rsidRPr="00367BEC">
        <w:rPr>
          <w:rFonts w:ascii="Times New Roman" w:hAnsi="Times New Roman"/>
        </w:rPr>
        <w:lastRenderedPageBreak/>
        <w:t xml:space="preserve">&lt;50 mg/día, en 11/14 (78,6 %) estudios se </w:t>
      </w:r>
      <w:r w:rsidR="00761D01">
        <w:rPr>
          <w:rFonts w:ascii="Times New Roman" w:hAnsi="Times New Roman"/>
        </w:rPr>
        <w:t>prescribió</w:t>
      </w:r>
      <w:r w:rsidRPr="00367BEC">
        <w:rPr>
          <w:rFonts w:ascii="Times New Roman" w:hAnsi="Times New Roman"/>
        </w:rPr>
        <w:t xml:space="preserve"> una dosis inicial de entre ≥100 mg/día y &lt;150 mg/día, mientras que las dosis al final del periodo de observación fueron todas superiores a 150 mg/día. En la Tabla 2 se muestra una descripción detallada de las dosis </w:t>
      </w:r>
      <w:r w:rsidR="00761D01">
        <w:rPr>
          <w:rFonts w:ascii="Times New Roman" w:hAnsi="Times New Roman"/>
        </w:rPr>
        <w:t>prescrita</w:t>
      </w:r>
      <w:r w:rsidRPr="00367BEC">
        <w:rPr>
          <w:rFonts w:ascii="Times New Roman" w:hAnsi="Times New Roman"/>
        </w:rPr>
        <w:t xml:space="preserve">s de tapentadol en cada estudio. Además, en 4/14 (28,6 %) estudios se notificó tratamiento analgésico concomitante con opioides durante el periodo de observación </w:t>
      </w:r>
      <w:r w:rsidR="00E93AD3" w:rsidRPr="00323691">
        <w:rPr>
          <w:rFonts w:ascii="Times New Roman" w:hAnsi="Times New Roman" w:cs="Times New Roman"/>
        </w:rPr>
        <w:fldChar w:fldCharType="begin"/>
      </w:r>
      <w:r w:rsidR="004F143F" w:rsidRPr="00323691">
        <w:rPr>
          <w:rFonts w:ascii="Times New Roman" w:hAnsi="Times New Roman" w:cs="Times New Roman"/>
        </w:rPr>
        <w:instrText xml:space="preserve"> ADDIN ZOTERO_ITEM CSL_CITATION {"citationID":"HINqwX4e","properties":{"formattedCitation":"(17\\uc0\\u8211{}20)","plainCitation":"(17–20)","noteIndex":0},"citationItems":[{"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E93AD3" w:rsidRPr="00323691">
        <w:rPr>
          <w:rFonts w:ascii="Times New Roman" w:hAnsi="Times New Roman" w:cs="Times New Roman"/>
        </w:rPr>
        <w:fldChar w:fldCharType="separate"/>
      </w:r>
      <w:r w:rsidR="00C56A05" w:rsidRPr="00323691">
        <w:rPr>
          <w:rFonts w:ascii="Times New Roman" w:hAnsi="Times New Roman" w:cs="Times New Roman"/>
        </w:rPr>
        <w:t>(17–20)</w:t>
      </w:r>
      <w:r w:rsidR="00E93AD3" w:rsidRPr="00323691">
        <w:rPr>
          <w:rFonts w:ascii="Times New Roman" w:hAnsi="Times New Roman" w:cs="Times New Roman"/>
        </w:rPr>
        <w:fldChar w:fldCharType="end"/>
      </w:r>
      <w:r w:rsidRPr="00323691">
        <w:rPr>
          <w:rFonts w:ascii="Times New Roman" w:hAnsi="Times New Roman"/>
        </w:rPr>
        <w:t xml:space="preserve"> (Tabla 3</w:t>
      </w:r>
      <w:r w:rsidR="00E62A2C" w:rsidRPr="00323691">
        <w:rPr>
          <w:rFonts w:ascii="Times New Roman" w:hAnsi="Times New Roman"/>
        </w:rPr>
        <w:t>).</w:t>
      </w:r>
    </w:p>
    <w:p w14:paraId="1E2E12D3" w14:textId="4528283A" w:rsidR="008642AF" w:rsidRPr="00367BEC" w:rsidRDefault="003343CD" w:rsidP="00CF1C1E">
      <w:pPr>
        <w:spacing w:after="0" w:line="480" w:lineRule="auto"/>
        <w:jc w:val="both"/>
        <w:rPr>
          <w:rFonts w:ascii="Times New Roman" w:hAnsi="Times New Roman" w:cs="Times New Roman"/>
        </w:rPr>
      </w:pPr>
      <w:r w:rsidRPr="00367BEC">
        <w:rPr>
          <w:rFonts w:ascii="Times New Roman" w:hAnsi="Times New Roman"/>
        </w:rPr>
        <w:t xml:space="preserve">El estudio con la dosis </w:t>
      </w:r>
      <w:r w:rsidR="00761D01">
        <w:rPr>
          <w:rFonts w:ascii="Times New Roman" w:hAnsi="Times New Roman"/>
        </w:rPr>
        <w:t>prescrita</w:t>
      </w:r>
      <w:r w:rsidRPr="00367BEC">
        <w:rPr>
          <w:rFonts w:ascii="Times New Roman" w:hAnsi="Times New Roman"/>
        </w:rPr>
        <w:t xml:space="preserve"> media más baja al inicio de la intervención con tapentadol (88,8 mg/día) también fue el estudio con el mayor aumento de la dosis (multiplicada por 2,6 en un plazo de 12 semanas)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qY7AyVUv","properties":{"formattedCitation":"(21)","plainCitation":"(21)","noteIndex":0},"citationItems":[{"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(21)</w:t>
      </w:r>
      <w:r w:rsidR="00E93AD3" w:rsidRPr="00367BEC">
        <w:rPr>
          <w:rFonts w:ascii="Times New Roman" w:hAnsi="Times New Roman" w:cs="Times New Roman"/>
        </w:rPr>
        <w:fldChar w:fldCharType="end"/>
      </w:r>
      <w:r w:rsidRPr="00367BEC">
        <w:rPr>
          <w:rFonts w:ascii="Times New Roman" w:hAnsi="Times New Roman"/>
        </w:rPr>
        <w:t xml:space="preserve">. Este estudio se centró en pacientes menores de 60 años, predominantemente con lumbalgia crónica y dolor de etiología mixta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Mxta61vF","properties":{"formattedCitation":"(21)","plainCitation":"(21)","noteIndex":0},"citationItems":[{"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(21)</w:t>
      </w:r>
      <w:r w:rsidR="00E93AD3" w:rsidRPr="00367BEC">
        <w:rPr>
          <w:rFonts w:ascii="Times New Roman" w:hAnsi="Times New Roman" w:cs="Times New Roman"/>
        </w:rPr>
        <w:fldChar w:fldCharType="end"/>
      </w:r>
      <w:r w:rsidRPr="00367BEC">
        <w:rPr>
          <w:rFonts w:ascii="Times New Roman" w:hAnsi="Times New Roman"/>
        </w:rPr>
        <w:t xml:space="preserve">. Por el contrario, el estudio con la dosis </w:t>
      </w:r>
      <w:r w:rsidR="00761D01">
        <w:rPr>
          <w:rFonts w:ascii="Times New Roman" w:hAnsi="Times New Roman"/>
        </w:rPr>
        <w:t>prescrita</w:t>
      </w:r>
      <w:r w:rsidRPr="00367BEC">
        <w:rPr>
          <w:rFonts w:ascii="Times New Roman" w:hAnsi="Times New Roman"/>
        </w:rPr>
        <w:t xml:space="preserve"> media más alta al inicio del tratamiento con tapentadol (196,0 mg/día) fue el único estudio en el que se notificó una reducción de la dosis al final del periodo de observación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4yyNLCph","properties":{"formattedCitation":"(15)","plainCitation":"(15)","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(15)</w:t>
      </w:r>
      <w:r w:rsidR="00E93AD3" w:rsidRPr="00367BEC">
        <w:rPr>
          <w:rFonts w:ascii="Times New Roman" w:hAnsi="Times New Roman" w:cs="Times New Roman"/>
        </w:rPr>
        <w:fldChar w:fldCharType="end"/>
      </w:r>
      <w:r w:rsidRPr="00367BEC">
        <w:rPr>
          <w:rFonts w:ascii="Times New Roman" w:hAnsi="Times New Roman"/>
        </w:rPr>
        <w:t xml:space="preserve">. Este estudio se centró en pacientes mayores de 60 años, predominantemente con lumbalgia crónica y dolor de etiología neuropática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KvRJr1f9","properties":{"formattedCitation":"(15)","plainCitation":"(15)","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(15)</w:t>
      </w:r>
      <w:r w:rsidR="00E93AD3" w:rsidRPr="00367BEC">
        <w:rPr>
          <w:rFonts w:ascii="Times New Roman" w:hAnsi="Times New Roman" w:cs="Times New Roman"/>
        </w:rPr>
        <w:fldChar w:fldCharType="end"/>
      </w:r>
      <w:r w:rsidRPr="00367BEC">
        <w:rPr>
          <w:rFonts w:ascii="Times New Roman" w:hAnsi="Times New Roman"/>
        </w:rPr>
        <w:t xml:space="preserve">. No obstante, el periodo de observación fue de 24 semanas, el más prolongado de todos los estudios seleccionados </w:t>
      </w:r>
      <w:r w:rsidR="00E93AD3"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4Ps64n40","properties":{"formattedCitation":"(15)","plainCitation":"(15)","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C."}],"issued":{"date-parts":[["2017"]]}}}],"schema":"https://github.com/citation-style-language/schema/raw/master/csl-citation.json"} </w:instrText>
      </w:r>
      <w:r w:rsidR="00E93AD3" w:rsidRPr="00367BEC">
        <w:rPr>
          <w:rFonts w:ascii="Times New Roman" w:hAnsi="Times New Roman" w:cs="Times New Roman"/>
        </w:rPr>
        <w:fldChar w:fldCharType="separate"/>
      </w:r>
      <w:r w:rsidR="00C56A05" w:rsidRPr="00367BEC">
        <w:rPr>
          <w:rFonts w:ascii="Times New Roman" w:hAnsi="Times New Roman" w:cs="Times New Roman"/>
        </w:rPr>
        <w:t>(15)</w:t>
      </w:r>
      <w:r w:rsidR="00E93AD3" w:rsidRPr="00367BEC">
        <w:rPr>
          <w:rFonts w:ascii="Times New Roman" w:hAnsi="Times New Roman" w:cs="Times New Roman"/>
        </w:rPr>
        <w:fldChar w:fldCharType="end"/>
      </w:r>
      <w:r w:rsidRPr="00367BEC">
        <w:rPr>
          <w:rFonts w:ascii="Times New Roman" w:hAnsi="Times New Roman"/>
        </w:rPr>
        <w:t xml:space="preserve">. </w:t>
      </w:r>
    </w:p>
    <w:p w14:paraId="11CF7878" w14:textId="373E807E" w:rsidR="00B840A5" w:rsidRPr="00367BEC" w:rsidRDefault="008642AF" w:rsidP="00CF1C1E">
      <w:pPr>
        <w:spacing w:after="0" w:line="480" w:lineRule="auto"/>
        <w:jc w:val="both"/>
        <w:rPr>
          <w:rFonts w:ascii="Times New Roman" w:hAnsi="Times New Roman" w:cs="Times New Roman"/>
        </w:rPr>
      </w:pPr>
      <w:r w:rsidRPr="00367BEC">
        <w:rPr>
          <w:rFonts w:ascii="Times New Roman" w:hAnsi="Times New Roman"/>
        </w:rPr>
        <w:t xml:space="preserve">En 10/14 (71,4 %) estudios se describió información sobre el tratamiento analgésico previo con opioides. De estos, 2/10 (20,0 %) estudios incluyeron principalmente pacientes sin tratamiento previo con opioides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AWvNcdJV","properties":{"formattedCitation":"(10,13)","plainCitation":"(10,13)","noteIndex":0},"citationItems":[{"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(10,13)</w:t>
      </w:r>
      <w:r w:rsidR="00F50315" w:rsidRPr="00367BEC">
        <w:rPr>
          <w:rFonts w:ascii="Times New Roman" w:hAnsi="Times New Roman" w:cs="Times New Roman"/>
        </w:rPr>
        <w:fldChar w:fldCharType="end"/>
      </w:r>
      <w:r w:rsidRPr="00367BEC">
        <w:rPr>
          <w:rFonts w:ascii="Times New Roman" w:hAnsi="Times New Roman"/>
        </w:rPr>
        <w:t xml:space="preserve">, y 7/10 (70,0 %) estudios incluyeron principalmente a pacientes que habían estado tomando opioides potentes (entre el 41,7 y el 49,0 % de la muestra en todos los estudios) y/u opioides débiles (entre el 34,8 y el 69,3 % de la muestra en todos los estudios) antes del estudio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w3loOs3w","properties":{"formattedCitation":"(9,13,17\\uc0\\u8211{}21)","plainCitation":"(9,13,17–21)","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(9,13,17–21)</w:t>
      </w:r>
      <w:r w:rsidR="00F50315" w:rsidRPr="00367BEC">
        <w:rPr>
          <w:rFonts w:ascii="Times New Roman" w:hAnsi="Times New Roman" w:cs="Times New Roman"/>
        </w:rPr>
        <w:fldChar w:fldCharType="end"/>
      </w:r>
      <w:r w:rsidRPr="00367BEC">
        <w:rPr>
          <w:rFonts w:ascii="Times New Roman" w:hAnsi="Times New Roman"/>
        </w:rPr>
        <w:t xml:space="preserve">. En la Tabla 3 se muestra una descripción detallada del tratamiento analgésico previo con opioides para cada estudio. En general, en los estudios en los que se notificó una proporción significativa de pacientes que habían estado tomando opioides potentes (&gt;40,0 %), se observaron dosis iniciales más altas de tapentadol con una reducción similar de la intensidad del dolor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CCcEJi3a","properties":{"formattedCitation":"(17\\uc0\\u8211{}20)","plainCitation":"(17–20)","noteIndex":0},"citationItems":[{"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(17–20)</w:t>
      </w:r>
      <w:r w:rsidR="00F50315" w:rsidRPr="00367BEC">
        <w:rPr>
          <w:rFonts w:ascii="Times New Roman" w:hAnsi="Times New Roman" w:cs="Times New Roman"/>
        </w:rPr>
        <w:fldChar w:fldCharType="end"/>
      </w:r>
      <w:r w:rsidRPr="00367BEC">
        <w:rPr>
          <w:rFonts w:ascii="Times New Roman" w:hAnsi="Times New Roman"/>
        </w:rPr>
        <w:t>.</w:t>
      </w:r>
    </w:p>
    <w:p w14:paraId="00462AB4" w14:textId="77777777" w:rsidR="00865510" w:rsidRDefault="00865510" w:rsidP="00CF1C1E">
      <w:pPr>
        <w:spacing w:after="0" w:line="480" w:lineRule="auto"/>
        <w:jc w:val="both"/>
        <w:rPr>
          <w:rStyle w:val="Textoennegrita"/>
        </w:rPr>
      </w:pPr>
    </w:p>
    <w:p w14:paraId="769A10B3" w14:textId="144398B6" w:rsidR="00035E5D" w:rsidRPr="00367BEC" w:rsidRDefault="00AC7575" w:rsidP="00CF1C1E">
      <w:pPr>
        <w:spacing w:after="0" w:line="480" w:lineRule="auto"/>
        <w:jc w:val="both"/>
        <w:rPr>
          <w:rStyle w:val="Textoennegrita"/>
        </w:rPr>
      </w:pPr>
      <w:r w:rsidRPr="00367BEC">
        <w:rPr>
          <w:rStyle w:val="Textoennegrita"/>
        </w:rPr>
        <w:t>Criterios de valoración de los estudios</w:t>
      </w:r>
    </w:p>
    <w:p w14:paraId="135ADEB9" w14:textId="22351234" w:rsidR="00035E5D" w:rsidRPr="00367BEC" w:rsidRDefault="00801E81" w:rsidP="00CF1C1E">
      <w:pPr>
        <w:spacing w:after="0" w:line="480" w:lineRule="auto"/>
        <w:jc w:val="both"/>
        <w:rPr>
          <w:rFonts w:ascii="Times New Roman" w:hAnsi="Times New Roman" w:cs="Times New Roman"/>
          <w:i/>
          <w:iCs/>
        </w:rPr>
      </w:pPr>
      <w:r w:rsidRPr="00367BEC">
        <w:rPr>
          <w:rFonts w:ascii="Times New Roman" w:hAnsi="Times New Roman"/>
          <w:i/>
        </w:rPr>
        <w:t xml:space="preserve">Intensidad del dolor </w:t>
      </w:r>
    </w:p>
    <w:p w14:paraId="22513D4A" w14:textId="74EEB6B2" w:rsidR="00E42AA2" w:rsidRPr="00367BEC" w:rsidRDefault="005518E6" w:rsidP="00CF1C1E">
      <w:pPr>
        <w:spacing w:after="0" w:line="480" w:lineRule="auto"/>
        <w:jc w:val="both"/>
        <w:rPr>
          <w:rFonts w:ascii="Times New Roman" w:hAnsi="Times New Roman" w:cs="Times New Roman"/>
        </w:rPr>
      </w:pPr>
      <w:r w:rsidRPr="00367BEC">
        <w:rPr>
          <w:rFonts w:ascii="Times New Roman" w:hAnsi="Times New Roman"/>
        </w:rPr>
        <w:lastRenderedPageBreak/>
        <w:t xml:space="preserve">Se evaluó el efecto del tapentadol en la intensidad del dolor mediante escalas de valoración numérica (EVN) y escalas visuales analógicas (Tabla 4). </w:t>
      </w:r>
      <w:bookmarkStart w:id="6" w:name="_Hlk18324123"/>
      <w:r w:rsidRPr="00367BEC">
        <w:rPr>
          <w:rFonts w:ascii="Times New Roman" w:hAnsi="Times New Roman"/>
        </w:rPr>
        <w:t>En todos los estudios de observó una reducción significativa de la intensidad del dolor a lo largo del periodo de observación</w:t>
      </w:r>
      <w:bookmarkEnd w:id="6"/>
      <w:r w:rsidRPr="00367BEC">
        <w:rPr>
          <w:rFonts w:ascii="Times New Roman" w:hAnsi="Times New Roman"/>
        </w:rPr>
        <w:t xml:space="preserve">, que fue del 23,4 al 93,0 % entre los estudios. De las diferentes herramientas utilizadas para evaluar la intensidad del dolor, la EVN de 11 puntos fue la utilizada con mayor frecuencia. La EVN de 11 puntos se notificó en 10/14 (71,4 %) estudios y mostró que la intensidad del dolor disminuyó de un valor mediano de 6,8 [1,1] al inicio de la intervención a un valor de 1,9 [1,6] al final del periodo de observación (−72,8 %)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Wurgor0D","properties":{"formattedCitation":"(8\\uc0\\u8211{}11,14,16\\uc0\\u8211{}20)","plainCitation":"(8–11,14,16–20)","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(8–11,14,16–20)</w:t>
      </w:r>
      <w:r w:rsidR="00F50315" w:rsidRPr="00367BEC">
        <w:rPr>
          <w:rFonts w:ascii="Times New Roman" w:hAnsi="Times New Roman" w:cs="Times New Roman"/>
        </w:rPr>
        <w:fldChar w:fldCharType="end"/>
      </w:r>
      <w:r w:rsidRPr="00367BEC">
        <w:rPr>
          <w:rFonts w:ascii="Times New Roman" w:hAnsi="Times New Roman"/>
        </w:rPr>
        <w:t xml:space="preserve">. Además, en 7/14 (50,0 %) estudios se notificó la proporción de pacientes con una respuesta analgésica al tratamiento con tapentadol al final del periodo de observación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pppBKaoi","properties":{"formattedCitation":"(13,15,17\\uc0\\u8211{}21)","plainCitation":"(13,15,17–21)","noteIndex":0},"citationItems":[{"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(13,15,17–21)</w:t>
      </w:r>
      <w:r w:rsidR="00F50315" w:rsidRPr="00367BEC">
        <w:rPr>
          <w:rFonts w:ascii="Times New Roman" w:hAnsi="Times New Roman" w:cs="Times New Roman"/>
        </w:rPr>
        <w:fldChar w:fldCharType="end"/>
      </w:r>
      <w:r w:rsidRPr="00367BEC">
        <w:rPr>
          <w:rFonts w:ascii="Times New Roman" w:hAnsi="Times New Roman"/>
        </w:rPr>
        <w:t>. En estos estudios se notificó una proporción de pacientes con una buena respuesta del 2,4 al 100 % entre los estudios (Tabla 5). De todos los parámetros de respuesta utilizados, el más utilizado fue una puntuación igual o por debajo (≤3 puntos) del objetivo terapéutico personalizado de los pacientes en la EVN de 11 puntos en un periodo de recuerdo de tres días. Este parámetro de respuesta se notificó en 4/14 (28,6 %) estudios y mostró que entre el 38,3 y el 65,8 % de los pacientes de todos los estudios alcanzaron su objetivo de intensidad del dolor al final del periodo de observación</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jRD3Ds3u","properties":{"formattedCitation":"(17\\uc0\\u8211{}20)","plainCitation":"(17–20)","noteIndex":0},"citationItems":[{"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(17–20)</w:t>
      </w:r>
      <w:r w:rsidR="00F50315" w:rsidRPr="00367BEC">
        <w:rPr>
          <w:rFonts w:ascii="Times New Roman" w:hAnsi="Times New Roman" w:cs="Times New Roman"/>
        </w:rPr>
        <w:fldChar w:fldCharType="end"/>
      </w:r>
      <w:r w:rsidRPr="00367BEC">
        <w:rPr>
          <w:rFonts w:ascii="Times New Roman" w:hAnsi="Times New Roman"/>
        </w:rPr>
        <w:t xml:space="preserve">. De manera similar, se observó una reducción de la intensidad del dolor ≥50 % respecto al inicio de la intervención con tapentadol hasta el final del periodo de observación en del 33,3 al 72,1 % de los participantes en 4/14 (28,6 %) estudios (Tabla 6)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a4iKC5FY","properties":{"formattedCitation":"(17\\uc0\\u8211{}20)","plainCitation":"(17–20)","noteIndex":0},"citationItems":[{"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(17–20)</w:t>
      </w:r>
      <w:r w:rsidR="00F50315" w:rsidRPr="00367BEC">
        <w:rPr>
          <w:rFonts w:ascii="Times New Roman" w:hAnsi="Times New Roman" w:cs="Times New Roman"/>
        </w:rPr>
        <w:fldChar w:fldCharType="end"/>
      </w:r>
      <w:r w:rsidRPr="00367BEC">
        <w:rPr>
          <w:rFonts w:ascii="Times New Roman" w:hAnsi="Times New Roman"/>
        </w:rPr>
        <w:t>.</w:t>
      </w:r>
    </w:p>
    <w:p w14:paraId="2D26835F" w14:textId="329641F3" w:rsidR="00035E5D" w:rsidRPr="00367BEC" w:rsidRDefault="00CD5CBB" w:rsidP="00CF1C1E">
      <w:pPr>
        <w:spacing w:after="0" w:line="480" w:lineRule="auto"/>
        <w:jc w:val="both"/>
        <w:rPr>
          <w:rFonts w:ascii="Times New Roman" w:hAnsi="Times New Roman" w:cs="Times New Roman"/>
          <w:i/>
          <w:iCs/>
        </w:rPr>
      </w:pPr>
      <w:r w:rsidRPr="00367BEC">
        <w:rPr>
          <w:rFonts w:ascii="Times New Roman" w:hAnsi="Times New Roman"/>
          <w:i/>
        </w:rPr>
        <w:t>Dolor neuropático</w:t>
      </w:r>
    </w:p>
    <w:p w14:paraId="5725BE92" w14:textId="525DDD50" w:rsidR="00366C0F" w:rsidRPr="00367BEC" w:rsidRDefault="007F467E" w:rsidP="00CF1C1E">
      <w:pPr>
        <w:spacing w:after="0" w:line="480" w:lineRule="auto"/>
        <w:jc w:val="both"/>
        <w:rPr>
          <w:rFonts w:ascii="Times New Roman" w:hAnsi="Times New Roman" w:cs="Times New Roman"/>
        </w:rPr>
      </w:pPr>
      <w:r w:rsidRPr="00367BEC">
        <w:rPr>
          <w:rFonts w:ascii="Times New Roman" w:hAnsi="Times New Roman"/>
        </w:rPr>
        <w:t xml:space="preserve">El efecto del tapentadol en el componente dolor neuropático se evaluó mediante el cuestionario </w:t>
      </w:r>
      <w:proofErr w:type="spellStart"/>
      <w:r w:rsidRPr="00367BEC">
        <w:rPr>
          <w:rFonts w:ascii="Times New Roman" w:hAnsi="Times New Roman"/>
        </w:rPr>
        <w:t>Douleur</w:t>
      </w:r>
      <w:proofErr w:type="spellEnd"/>
      <w:r w:rsidRPr="00367BEC">
        <w:rPr>
          <w:rFonts w:ascii="Times New Roman" w:hAnsi="Times New Roman"/>
        </w:rPr>
        <w:t xml:space="preserve"> </w:t>
      </w:r>
      <w:proofErr w:type="spellStart"/>
      <w:r w:rsidRPr="00367BEC">
        <w:rPr>
          <w:rFonts w:ascii="Times New Roman" w:hAnsi="Times New Roman"/>
        </w:rPr>
        <w:t>Neuropathique</w:t>
      </w:r>
      <w:proofErr w:type="spellEnd"/>
      <w:r w:rsidRPr="00367BEC">
        <w:rPr>
          <w:rFonts w:ascii="Times New Roman" w:hAnsi="Times New Roman"/>
        </w:rPr>
        <w:t xml:space="preserve"> (DN4) y la versión de siete apartados modificada del cuestionario </w:t>
      </w:r>
      <w:proofErr w:type="spellStart"/>
      <w:r w:rsidRPr="00367BEC">
        <w:rPr>
          <w:rFonts w:ascii="Times New Roman" w:hAnsi="Times New Roman"/>
        </w:rPr>
        <w:t>painDetect</w:t>
      </w:r>
      <w:proofErr w:type="spellEnd"/>
      <w:r w:rsidRPr="00367BEC">
        <w:rPr>
          <w:rFonts w:ascii="Times New Roman" w:hAnsi="Times New Roman"/>
        </w:rPr>
        <w:t xml:space="preserve"> (PDQ</w:t>
      </w:r>
      <w:r w:rsidRPr="00367BEC">
        <w:rPr>
          <w:rFonts w:ascii="Times New Roman" w:hAnsi="Times New Roman"/>
          <w:vertAlign w:val="subscript"/>
        </w:rPr>
        <w:t>7</w:t>
      </w:r>
      <w:r w:rsidRPr="00367BEC">
        <w:rPr>
          <w:rFonts w:ascii="Times New Roman" w:hAnsi="Times New Roman"/>
        </w:rPr>
        <w:t xml:space="preserve">) (Tabla 7). La puntuación del cuestionario DN4 se notificó en 4/14 (28,6 %) estudios y puso de manifiesto una reducción significativa del dolor neuropático del 18,0 al 91,2 % entre los estudios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y3N7qMhA","properties":{"formattedCitation":"(8\\uc0\\u8211{}10,15)","plainCitation":"(8–10,15)","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(8–10,15)</w:t>
      </w:r>
      <w:r w:rsidR="00F50315" w:rsidRPr="00367BEC">
        <w:rPr>
          <w:rFonts w:ascii="Times New Roman" w:hAnsi="Times New Roman" w:cs="Times New Roman"/>
        </w:rPr>
        <w:fldChar w:fldCharType="end"/>
      </w:r>
      <w:r w:rsidRPr="00367BEC">
        <w:rPr>
          <w:rFonts w:ascii="Times New Roman" w:hAnsi="Times New Roman"/>
        </w:rPr>
        <w:t xml:space="preserve">. Asimismo, en 3/4 (75,0 %) estudios se notificó una reducción significativa en la proporción de pacientes con un componente neuropático de dolor al final del periodo de observación, que fue del 40,8 al 100 % entre los estudios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5S8ecEnU","properties":{"formattedCitation":"(8\\uc0\\u8211{}10)","plainCitation":"(8–10)","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(8–10)</w:t>
      </w:r>
      <w:r w:rsidR="00F50315" w:rsidRPr="00367BEC">
        <w:rPr>
          <w:rFonts w:ascii="Times New Roman" w:hAnsi="Times New Roman" w:cs="Times New Roman"/>
        </w:rPr>
        <w:fldChar w:fldCharType="end"/>
      </w:r>
      <w:r w:rsidRPr="00367BEC">
        <w:rPr>
          <w:rFonts w:ascii="Times New Roman" w:hAnsi="Times New Roman"/>
        </w:rPr>
        <w:t xml:space="preserve">. Por consiguiente, estos estudios mostraron una pequeña proporción de pacientes con dolor neuropático al final del </w:t>
      </w:r>
      <w:r w:rsidRPr="00367BEC">
        <w:rPr>
          <w:rFonts w:ascii="Times New Roman" w:hAnsi="Times New Roman"/>
        </w:rPr>
        <w:lastRenderedPageBreak/>
        <w:t>estudio, que fue del 0,0 al 23,0 % entre los estudios. Con el uso del cuestionario PDQ</w:t>
      </w:r>
      <w:r w:rsidRPr="00367BEC">
        <w:rPr>
          <w:rFonts w:ascii="Times New Roman" w:hAnsi="Times New Roman"/>
          <w:vertAlign w:val="subscript"/>
        </w:rPr>
        <w:t xml:space="preserve">7 </w:t>
      </w:r>
      <w:r w:rsidR="00F50315" w:rsidRPr="00367BEC">
        <w:rPr>
          <w:rFonts w:ascii="Times New Roman" w:hAnsi="Times New Roman" w:cs="Times New Roman"/>
          <w:vertAlign w:val="subscript"/>
        </w:rPr>
        <w:fldChar w:fldCharType="begin"/>
      </w:r>
      <w:r w:rsidR="004F143F" w:rsidRPr="00367BEC">
        <w:rPr>
          <w:rFonts w:ascii="Times New Roman" w:hAnsi="Times New Roman" w:cs="Times New Roman"/>
          <w:vertAlign w:val="subscript"/>
        </w:rPr>
        <w:instrText xml:space="preserve"> ADDIN ZOTERO_ITEM CSL_CITATION {"citationID":"FRTUl2HC","properties":{"formattedCitation":"(21)","plainCitation":"(21)","noteIndex":0},"citationItems":[{"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H."}],"issued":{"date-parts":[["2016"]]}}}],"schema":"https://github.com/citation-style-language/schema/raw/master/csl-citation.json"} </w:instrText>
      </w:r>
      <w:r w:rsidR="00F50315" w:rsidRPr="00367BEC">
        <w:rPr>
          <w:rFonts w:ascii="Times New Roman" w:hAnsi="Times New Roman" w:cs="Times New Roman"/>
          <w:vertAlign w:val="subscript"/>
        </w:rPr>
        <w:fldChar w:fldCharType="separate"/>
      </w:r>
      <w:r w:rsidR="00C56A05" w:rsidRPr="00367BEC">
        <w:rPr>
          <w:rFonts w:ascii="Times New Roman" w:hAnsi="Times New Roman" w:cs="Times New Roman"/>
        </w:rPr>
        <w:t>(21)</w:t>
      </w:r>
      <w:r w:rsidR="00F50315" w:rsidRPr="00367BEC">
        <w:rPr>
          <w:rFonts w:ascii="Times New Roman" w:hAnsi="Times New Roman" w:cs="Times New Roman"/>
          <w:vertAlign w:val="subscript"/>
        </w:rPr>
        <w:fldChar w:fldCharType="end"/>
      </w:r>
      <w:r w:rsidR="005E78C8">
        <w:rPr>
          <w:rFonts w:ascii="Times New Roman" w:hAnsi="Times New Roman" w:cs="Times New Roman"/>
          <w:vertAlign w:val="subscript"/>
        </w:rPr>
        <w:t xml:space="preserve"> </w:t>
      </w:r>
      <w:r w:rsidRPr="00367BEC">
        <w:rPr>
          <w:rFonts w:ascii="Times New Roman" w:hAnsi="Times New Roman"/>
        </w:rPr>
        <w:t>se notificaron resultados similares. En la Tabla 8 se muestra una descripción detallada de los resultados de dolor neuropático.</w:t>
      </w:r>
    </w:p>
    <w:p w14:paraId="2AA68E39" w14:textId="3EACDF5F" w:rsidR="00035E5D" w:rsidRPr="00367BEC" w:rsidRDefault="00CD5CBB" w:rsidP="00CF1C1E">
      <w:pPr>
        <w:spacing w:after="0" w:line="480" w:lineRule="auto"/>
        <w:jc w:val="both"/>
        <w:rPr>
          <w:rFonts w:ascii="Times New Roman" w:hAnsi="Times New Roman" w:cs="Times New Roman"/>
          <w:i/>
          <w:iCs/>
        </w:rPr>
      </w:pPr>
      <w:r w:rsidRPr="00367BEC">
        <w:rPr>
          <w:rFonts w:ascii="Times New Roman" w:hAnsi="Times New Roman"/>
          <w:i/>
        </w:rPr>
        <w:t>Calidad de vida</w:t>
      </w:r>
    </w:p>
    <w:p w14:paraId="79FB320A" w14:textId="3DB1FD56" w:rsidR="00D17A21" w:rsidRPr="00367BEC" w:rsidRDefault="007F467E" w:rsidP="00CF1C1E">
      <w:pPr>
        <w:spacing w:after="0" w:line="480" w:lineRule="auto"/>
        <w:jc w:val="both"/>
        <w:rPr>
          <w:rFonts w:ascii="Times New Roman" w:hAnsi="Times New Roman" w:cs="Times New Roman"/>
        </w:rPr>
      </w:pPr>
      <w:r w:rsidRPr="00367BEC">
        <w:rPr>
          <w:rFonts w:ascii="Times New Roman" w:hAnsi="Times New Roman"/>
        </w:rPr>
        <w:t xml:space="preserve">El efecto del tapentadol en la calidad de vida se evaluó con varios cuestionarios (Tabla 9). Esto se notificó en 10/14 (71,4 %) estudios, que, por lo general, mostraron una mejora de la calidad de vida al final del periodo de observación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kTArhsJF","properties":{"formattedCitation":"(8,10\\uc0\\u8211{}12,14,16\\uc0\\u8211{}20)","plainCitation":"(8,10–12,14,16–20)","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(8,10–12,14,16–20)</w:t>
      </w:r>
      <w:r w:rsidR="00F50315" w:rsidRPr="00367BEC">
        <w:rPr>
          <w:rFonts w:ascii="Times New Roman" w:hAnsi="Times New Roman" w:cs="Times New Roman"/>
        </w:rPr>
        <w:fldChar w:fldCharType="end"/>
      </w:r>
      <w:r w:rsidRPr="00367BEC">
        <w:rPr>
          <w:rFonts w:ascii="Times New Roman" w:hAnsi="Times New Roman"/>
        </w:rPr>
        <w:t>. De las diferentes herramientas utilizadas para evaluar la calidad de vida</w:t>
      </w:r>
      <w:r w:rsidR="005E78C8">
        <w:rPr>
          <w:rFonts w:ascii="Times New Roman" w:hAnsi="Times New Roman"/>
        </w:rPr>
        <w:t xml:space="preserve"> (</w:t>
      </w:r>
      <w:proofErr w:type="spellStart"/>
      <w:r w:rsidR="005E78C8">
        <w:rPr>
          <w:rFonts w:ascii="Times New Roman" w:hAnsi="Times New Roman"/>
        </w:rPr>
        <w:t>CdV</w:t>
      </w:r>
      <w:proofErr w:type="spellEnd"/>
      <w:r w:rsidR="005E78C8">
        <w:rPr>
          <w:rFonts w:ascii="Times New Roman" w:hAnsi="Times New Roman"/>
        </w:rPr>
        <w:t>)</w:t>
      </w:r>
      <w:r w:rsidRPr="00367BEC">
        <w:rPr>
          <w:rFonts w:ascii="Times New Roman" w:hAnsi="Times New Roman"/>
        </w:rPr>
        <w:t xml:space="preserve">, los cuestionarios SF-12 o SF-36 fueron los utilizados con mayor frecuencia. Por ello, las puntuaciones de los cuestionarios SF-12 o SF-36 se notificaron en 6/10 (60,0 %) y en 5/6 (83,3 %) estudios, respectivamente, y se puso de manifiesto una mejora significativa de la calidad de vida del 20,5 al 83,2 % entre los estudios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WeZXzcgk","properties":{"formattedCitation":"(8,10\\uc0\\u8211{}12,16)","plainCitation":"(8,10–12,16)","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(8,10–12,16)</w:t>
      </w:r>
      <w:r w:rsidR="00F50315" w:rsidRPr="00367BEC">
        <w:rPr>
          <w:rFonts w:ascii="Times New Roman" w:hAnsi="Times New Roman" w:cs="Times New Roman"/>
        </w:rPr>
        <w:fldChar w:fldCharType="end"/>
      </w:r>
      <w:r w:rsidRPr="00367BEC">
        <w:rPr>
          <w:rFonts w:ascii="Times New Roman" w:hAnsi="Times New Roman"/>
        </w:rPr>
        <w:t xml:space="preserve">. De manera similar, la calidad de vida se evaluó con la EVN de 11 puntos para la </w:t>
      </w:r>
      <w:proofErr w:type="spellStart"/>
      <w:r w:rsidRPr="00367BEC">
        <w:rPr>
          <w:rFonts w:ascii="Times New Roman" w:hAnsi="Times New Roman"/>
        </w:rPr>
        <w:t>CdV</w:t>
      </w:r>
      <w:proofErr w:type="spellEnd"/>
      <w:r w:rsidRPr="00367BEC">
        <w:rPr>
          <w:rFonts w:ascii="Times New Roman" w:hAnsi="Times New Roman"/>
        </w:rPr>
        <w:t xml:space="preserve"> en 3/10 (30,0 %) estudios y se notificaron mejoras significativas que fueron del 32,3 al 51,5  % entre los estudios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HxeWTsrx","properties":{"formattedCitation":"(18\\uc0\\u8211{}20)","plainCitation":"(18–20)","noteIndex":0},"citationItems":[{"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(18–20)</w:t>
      </w:r>
      <w:r w:rsidR="00F50315" w:rsidRPr="00367BEC">
        <w:rPr>
          <w:rFonts w:ascii="Times New Roman" w:hAnsi="Times New Roman" w:cs="Times New Roman"/>
        </w:rPr>
        <w:fldChar w:fldCharType="end"/>
      </w:r>
      <w:r w:rsidRPr="00367BEC">
        <w:rPr>
          <w:rFonts w:ascii="Times New Roman" w:hAnsi="Times New Roman"/>
        </w:rPr>
        <w:t>. En la Tabla 10 se muestra una descripción detallada de los resultados de calidad de vida.</w:t>
      </w:r>
    </w:p>
    <w:p w14:paraId="08FCD1EC" w14:textId="3B6F0BD7" w:rsidR="00035E5D" w:rsidRPr="00367BEC" w:rsidRDefault="00CD5CBB" w:rsidP="00CF1C1E">
      <w:pPr>
        <w:spacing w:after="0" w:line="480" w:lineRule="auto"/>
        <w:jc w:val="both"/>
        <w:rPr>
          <w:rFonts w:ascii="Times New Roman" w:hAnsi="Times New Roman" w:cs="Times New Roman"/>
          <w:i/>
          <w:iCs/>
        </w:rPr>
      </w:pPr>
      <w:r w:rsidRPr="00367BEC">
        <w:rPr>
          <w:rFonts w:ascii="Times New Roman" w:hAnsi="Times New Roman"/>
          <w:i/>
        </w:rPr>
        <w:t>Otros criterios de valoración</w:t>
      </w:r>
    </w:p>
    <w:p w14:paraId="7886177E" w14:textId="0B21A071" w:rsidR="0016336C" w:rsidRPr="00367BEC" w:rsidRDefault="00772D35" w:rsidP="00CF1C1E">
      <w:pPr>
        <w:spacing w:after="0" w:line="480" w:lineRule="auto"/>
        <w:jc w:val="both"/>
        <w:rPr>
          <w:rFonts w:ascii="Times New Roman" w:hAnsi="Times New Roman" w:cs="Times New Roman"/>
        </w:rPr>
      </w:pPr>
      <w:r w:rsidRPr="00367BEC">
        <w:rPr>
          <w:rFonts w:ascii="Times New Roman" w:hAnsi="Times New Roman"/>
        </w:rPr>
        <w:t xml:space="preserve">En otros estudios se notificaron parámetros relevantes para medir el efecto del tapentadol (Tabla 11). En general, se notificaron mejoras significativas en la calidad del sueño, la actividad social, la independencia, la libido, la función del cuello, la discapacidad por lumbalgia (Índice de Discapacidad de </w:t>
      </w:r>
      <w:proofErr w:type="spellStart"/>
      <w:r w:rsidRPr="00367BEC">
        <w:rPr>
          <w:rFonts w:ascii="Times New Roman" w:hAnsi="Times New Roman"/>
        </w:rPr>
        <w:t>Oswestry</w:t>
      </w:r>
      <w:proofErr w:type="spellEnd"/>
      <w:r w:rsidRPr="00367BEC">
        <w:rPr>
          <w:rFonts w:ascii="Times New Roman" w:hAnsi="Times New Roman"/>
        </w:rPr>
        <w:t>), y los síntomas relacionados con el cáncer y su interferencia con las actividades diarias (Inventario de Síntomas de MD Anderson). Las mejoras notificadas con mayor frecuencia fueron en la calidad del sueño</w:t>
      </w:r>
      <w:r w:rsidR="005E78C8">
        <w:rPr>
          <w:rFonts w:ascii="Times New Roman" w:hAnsi="Times New Roman"/>
        </w:rPr>
        <w:t xml:space="preserve">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C3vUMPa4","properties":{"formattedCitation":"(8,9,16,18\\uc0\\u8211{}20)","plainCitation":"(8,9,16,18–20)","noteIndex":0},"citationItems":[{"id":43034,"uris":["http://zotero.org/groups/2141613/items/KV2R6QKC"],"uri":["http://zotero.org/groups/2141613/items/KV2R6QKC"],"itemData":{"id":43034,"type":"article-journal","abstract":"Background: The role of opioids in the management of chronic neck pain is still poorly investigated. No data are available on tapentadol extended release (ER). In this article, we present 54 patients with moderate-to-severe chronic neck pain treated with tapentadol ER. Patients and methods: Patients received tapentadol ER 100 mg/day; dosage was then adjusted according to clinical needs. The following parameters were recorded: pain; Douleur Neuropathique 4 score; Neck Disability Index score; range of motion; pain-associated sleep interference; quality of life (Short Form [36] Health Survey); Patient Global Impression of Change (PGIC); Clinician GIC; opioid-related adverse effects; and need for other analgesics. Results: A total of 44 of 54 patients completed the 12-week observation. Tapentadol ER daily doses increased from 100 mg/day to a mean (standard deviation) dosage of 204.5 (102.8) mg/day at the final evaluation. Mean pain intensity at movement significantly decreased from baseline (8.1 [1.1]) to all time points (P&lt;0.01). At baseline, 70% of patients presented a positive neuropathic component. This percentage dropped to 23% after 12 weeks. Tapentadol improved Neck Disability Index scores from 55.6 (18.6) at baseline to 19.7 (20.9) at the final evaluation (P&lt;0.01). Tapentadol significantly improved neck range of motion in all three planes of motion, particularly in lateral flexion. Quality of life significantly improved in all Short Form (36) Health Survey subscales (P&lt;0.01) and in both physical and mental status (P&lt;0.01). Based on PGIC results, approximately 90% of patients rated their overall condition as much/very much improved. Tapentadol was well tolerated: no patients discontinued due to side effects. The use of other analgesics was reduced during the observed period. Conclusion: Our results suggest that tapentadol ER, started at 100 mg/day, is effective and well tolerated in patients with moderate-to-severe chronic neck pain, including opioid-naïve subjects. Patients can expect a decrease in pain, an improvement in neck function, and a decrease in neuropathic symptoms.","archive":"Embase","container-title":"Journal of Pain Research","DOI":"10.2147/JPR.S129056","ISSN":"1178-7090","language":"English","page":"495-505","title":"Tapentadol extended release for the management of chronic neck pain","title-short":"Tapentadol extended release for the management of chronic neck pain","volume":"10","author":[{"family":"Billeci","given":"D."},{"family":"Coluzzi","given":"F."}],"issued":{"date-parts":[["2017"]]}},"label":"page"},{"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(8,9,16,18–20)</w:t>
      </w:r>
      <w:r w:rsidR="00F50315" w:rsidRPr="00367BEC">
        <w:rPr>
          <w:rFonts w:ascii="Times New Roman" w:hAnsi="Times New Roman" w:cs="Times New Roman"/>
        </w:rPr>
        <w:fldChar w:fldCharType="end"/>
      </w:r>
      <w:r w:rsidRPr="00367BEC">
        <w:rPr>
          <w:rFonts w:ascii="Times New Roman" w:hAnsi="Times New Roman"/>
        </w:rPr>
        <w:t xml:space="preserve">, seguidas de la actividad social, la independencia y la libido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2kqRopUV","properties":{"formattedCitation":"(18\\uc0\\u8211{}20)","plainCitation":"(18–20)","noteIndex":0},"citationItems":[{"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(18–20)</w:t>
      </w:r>
      <w:r w:rsidR="00F50315" w:rsidRPr="00367BEC">
        <w:rPr>
          <w:rFonts w:ascii="Times New Roman" w:hAnsi="Times New Roman" w:cs="Times New Roman"/>
        </w:rPr>
        <w:fldChar w:fldCharType="end"/>
      </w:r>
      <w:r w:rsidRPr="00367BEC">
        <w:rPr>
          <w:rFonts w:ascii="Times New Roman" w:hAnsi="Times New Roman"/>
        </w:rPr>
        <w:t>. De manera similar, otros parámetros no analizados para determinar la significación estadística, como el Índice de Discapacidad por Dolor modificado, las puntuaciones de la Escala de Ansiedad y Depresión Hospitalaria y el Cuestionario de Bienestar Habitual de Marburgo, mostraron mejoras al final del periodo de observación. Estos criterios de valoración se muestran en detalle en las tablas 12 y 13.</w:t>
      </w:r>
    </w:p>
    <w:p w14:paraId="232334B8" w14:textId="416E32A9" w:rsidR="00035E5D" w:rsidRPr="00367BEC" w:rsidRDefault="00CD5CBB" w:rsidP="00CF1C1E">
      <w:pPr>
        <w:spacing w:after="0" w:line="480" w:lineRule="auto"/>
        <w:jc w:val="both"/>
        <w:rPr>
          <w:rFonts w:ascii="Times New Roman" w:hAnsi="Times New Roman" w:cs="Times New Roman"/>
          <w:i/>
          <w:iCs/>
        </w:rPr>
      </w:pPr>
      <w:r w:rsidRPr="00367BEC">
        <w:rPr>
          <w:rFonts w:ascii="Times New Roman" w:hAnsi="Times New Roman"/>
          <w:i/>
        </w:rPr>
        <w:t>Acontecimientos adversos</w:t>
      </w:r>
    </w:p>
    <w:p w14:paraId="114A4DF9" w14:textId="2414B8F0" w:rsidR="00AC7575" w:rsidRPr="00367BEC" w:rsidRDefault="00D61E92" w:rsidP="00CF1C1E">
      <w:pPr>
        <w:spacing w:after="0" w:line="480" w:lineRule="auto"/>
        <w:jc w:val="both"/>
        <w:rPr>
          <w:rFonts w:ascii="Times New Roman" w:hAnsi="Times New Roman" w:cs="Times New Roman"/>
        </w:rPr>
      </w:pPr>
      <w:r w:rsidRPr="00367BEC">
        <w:rPr>
          <w:rFonts w:ascii="Times New Roman" w:hAnsi="Times New Roman"/>
        </w:rPr>
        <w:lastRenderedPageBreak/>
        <w:t xml:space="preserve">Se recogieron informes de acontecimientos adversos de 11/14 (78,6 %) estudios. La proporción de pacientes que notificaron acontecimientos adversos fue del 3,3 al 70,4 % entre los estudios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gT9H6IH1","properties":{"formattedCitation":"(9,11\\uc0\\u8211{}13,17\\uc0\\u8211{}21)","plainCitation":"(9,11–13,17–21)","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(9,11–13,17–21)</w:t>
      </w:r>
      <w:r w:rsidR="00F50315" w:rsidRPr="00367BEC">
        <w:rPr>
          <w:rFonts w:ascii="Times New Roman" w:hAnsi="Times New Roman" w:cs="Times New Roman"/>
        </w:rPr>
        <w:fldChar w:fldCharType="end"/>
      </w:r>
      <w:r w:rsidRPr="00367BEC">
        <w:rPr>
          <w:rFonts w:ascii="Times New Roman" w:hAnsi="Times New Roman"/>
        </w:rPr>
        <w:t xml:space="preserve">, mientras que la proporción de pacientes que interrumpieron el tratamiento por acontecimientos adversos fue del 2,4 al 7,5 % entre los estudios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75osOErK","properties":{"formattedCitation":"(13,14,17\\uc0\\u8211{}19,21)","plainCitation":"(13,14,17–19,21)","noteIndex":0},"citationItems":[{"id":43039,"uris":["http://zotero.org/groups/2141613/items/AAUT6VHS"],"uri":["http://zotero.org/groups/2141613/items/AAUT6VHS"],"itemData":{"id":43039,"type":"article-journal","abstract":"Introduction: Tapentadol is a centrally acting analgesic with two mechanisms of action (y opioid agonism and norepinephrine reuptake inhibition). Patients and methods: Tapentadol in 53 cancer opioid-naive patients with chronic and/or acute pain treated with tapentadol in 3 Radiotherapy Departments from October 2011 to February 2013. Results: Patients included 18 women (33.96 %) and 35 men (66.04 %) aged 28-85 years (mean: 62.7). Treatment was suspended due to death in 16.98 %, improvement in 5.66 %, pruritus in 1.9 % and dizziness in 1.9 %. Treatment was continued in 66.03 %, and doses increased in 26.41 % to achieve analgesia while 7.5 % were switched to another drug. a) The most common cancers were head and neck in 32.1 %, lung in 24.5 % and breast in 13.2 %. b) Pain was due to: 47.16 % tumor, 18.7 % bone metastases, 13.21 % radiation therapy, 7.55 % benign processes, 7.55 % neuropathic pain and 3.77 % visceral metastases. c) Visual Analog Scale pain pre-treatment was 7.2 and post-treatment 3.3 (difference: 3.9 points), while 71.8 % progressed to mild pain (VAS ≤ 4). d) The dose most used was: 50 mg (50.9 %). e) Associated medications were: none (22.64 %), rapid-onset fentanyl (60.38 %), anticonvulsants (17 %), steroids (17 %), NSAIDs (13.2 %), morphine (5.66 %), anxiolytics (1.9 %), antidepressants (1.9 %), lidocaine 5 % (1.9 %) and acupuncture (1.9 %). f) Analgesic efficacy was achieved in 94.34 % of cases. Mean analgesia was reached by 58 % of patients and maximum analgesia was 87.5 % in one patient. g) Tapentadol was well tolerated with mild side effects (pruritus, constipation and dizziness) in 4 cases (10.7 %). Conclusions: Our data support the use of Tapentadol in cancer opioid-naive patients with moderate-to-severe chronic or acute pain (VAS &gt; 5). Tapentadol is an effective pain reliever with few side effects.","archive":"Embase","container-title":"Revista de la Sociedad Espanola del Dolor","ISSN":"2254-6189 1134-8046","issue":"1","language":"English","page":"32-38","title":"Tapentadol in the management of opioid-naïve patients with cancer pain","title-short":"Tapentadol in the management of opioid-naïve patients with cancer pain","volume":"23","author":[{"family":"López Ramírez","given":"E."},{"family":"Muñoz Carmona","given":"D. M."},{"family":"Contreras Martínez","given":"J."},{"family":"De La Torre-Luque","given":"A."}],"issued":{"date-parts":[["2016"]]}},"label":"page"},{"id":43040,"uris":["http://zotero.org/groups/2141613/items/A8EDRFF3"],"uri":["http://zotero.org/groups/2141613/items/A8EDRFF3"],"itemData":{"id":43040,"type":"article-journal","abstract":"OBJECTIVES: The aim of this prospective, open-label study was to evaluate the efficacy and tolerability of tapentadol (TP) in the management of cancer pain. METHODS: 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 RESULTS: 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 CONCLUSION: Tapentalol started in doses of 100 mg/day was well-tolerated and effective in opioid-naive patients with cancer pain, regardless of the pain mechanism. It can be considered as a flexible drug to be used in patients with moderate-severe pain. LIMITATIONS: This was an open-label study for exploratory purposes. Data should be confirmed in controlled studies with a larger number of patients.","archive_location":"23057488","container-title":"Curr Med Res Opin","DOI":"10.1185/03007995.2012.739151","ISSN":"0300-7995","issue":"11","journalAbbreviation":"Current medical research and opinion","language":"eng","page":"1775-9","source":"NLM","title":"Tapentadol in cancer pain management: a prospective open-label study","title-short":"Tapentadol in cancer pain management: a prospective open-label study","volume":"28","author":[{"family":"Mercadante","given":"S."},{"family":"Porzio","given":"G."},{"family":"Ferrera","given":"P."},{"family":"Aielli","given":"F."},{"family":"Adile","given":"C."},{"family":"Ficorella","given":"C."},{"family":"Giarratano","given":"A."},{"family":"Casuccio","given":"A."}],"issued":{"date-parts":[["2012",11]]}},"label":"page"},{"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(13,14,17–19,21)</w:t>
      </w:r>
      <w:r w:rsidR="00F50315" w:rsidRPr="00367BEC">
        <w:rPr>
          <w:rFonts w:ascii="Times New Roman" w:hAnsi="Times New Roman" w:cs="Times New Roman"/>
        </w:rPr>
        <w:fldChar w:fldCharType="end"/>
      </w:r>
      <w:r w:rsidRPr="00367BEC">
        <w:rPr>
          <w:rFonts w:ascii="Times New Roman" w:hAnsi="Times New Roman"/>
        </w:rPr>
        <w:t xml:space="preserve">. Se notificaron acontecimientos adversos graves en dos estudios, que fueron náuseas en un paciente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NcqKNeXl","properties":{"formattedCitation":"(17)","plainCitation":"(17)","noteIndex":0},"citationItems":[{"id":43043,"uris":["http://zotero.org/groups/2141613/items/P9QB3QQW"],"uri":["http://zotero.org/groups/2141613/items/P9QB3QQW"],"itemData":{"id":43043,"type":"article-journal","abstract":"BACKGROUND: Clinical trials have shown the efficacy and good tolerability of tapentadol prolonged release (PR) for severe chronic pain of different etiologies. This study investigated the influence of tapentadol PR on pain control and quality of life of patients with severe chronic cancer-related pain in routine clinical practice in Germany. PATIENTS AND METHODS: During a 3-month observation period, 45 physicians (mainly palliative care specialists) documented dosage and tolerability of tapentadol PR, previous and concomitant analgesic treatment, pain intensity, pain-related restrictions of daily activities and quality of life, and general state of health of 123 patients with chronic cancer-related pain in the context of a prospective noninterventional study. RESULTS: All patients (mean age 63.9+/-13.2 years, 93.5% in constant pain) had received analgesic long-term treatment (42.3% strong opioids) prior to the start of tapentadol PR treatment. During the observation period, tapentadol PR significantly reduced the average pain intensity by 2.4 points (from a mean 6.1+/-1.7 to 3.7+/-2.0, P&lt;0.001); half of the patients (52%) achieved a pain score &lt;/=3 at the end of observation. At the same time, mental and emotional well-being, pain-related impairments of daily activities, sleep quality, and quality of life improved, while the overall intake of analgesic concomitant medication could be reduced. Improvements in general state of health were significant (P&lt;0.001). Overall, tapentadol PR was well tolerated. CONCLUSION: Good pain control with tapentadol PR was accompanied by markedly reduced pain-related mental and physical burden and quality of life improved. Overall, the general state of health of these patients with chronic cancer-related pain improved significantly despite the underlying illness.","archive_location":"25565884","container-title":"J Pain Res","DOI":"10.2147/jpr.s72150","ISSN":"1178-7090 (Print) 1178-7090","journalAbbreviation":"Journal of pain research","language":"eng","page":"1-8","source":"NLM","title":"Tapentadol prolonged release for severe chronic cancer-related pain: effectiveness, tolerability, and influence on quality of life of the patients","title-short":"Tapentadol prolonged release for severe chronic cancer-related pain: effectiveness, tolerability, and influence on quality of life of the patients","volume":"8","author":[{"family":"Schikowski","given":"A."},{"family":"Krings","given":"D."},{"family":"Schwenke","given":"K."}],"issued":{"date-parts":[["2015"]]}}}],"schema":"https://github.com/citation-style-language/schema/raw/master/csl-citation.json"}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(17)</w:t>
      </w:r>
      <w:r w:rsidR="00F50315" w:rsidRPr="00367BEC">
        <w:rPr>
          <w:rFonts w:ascii="Times New Roman" w:hAnsi="Times New Roman" w:cs="Times New Roman"/>
        </w:rPr>
        <w:fldChar w:fldCharType="end"/>
      </w:r>
      <w:r w:rsidRPr="00367BEC">
        <w:rPr>
          <w:rFonts w:ascii="Times New Roman" w:hAnsi="Times New Roman"/>
        </w:rPr>
        <w:t>, síndrome de abstinencia en tres pacientes</w:t>
      </w:r>
      <w:r w:rsidR="005E78C8">
        <w:rPr>
          <w:rFonts w:ascii="Times New Roman" w:hAnsi="Times New Roman"/>
        </w:rPr>
        <w:t xml:space="preserve">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YBLUqIAb","properties":{"formattedCitation":"(19)","plainCitation":"(19)","noteIndex":0},"citationItems":[{"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(19)</w:t>
      </w:r>
      <w:r w:rsidR="00F50315" w:rsidRPr="00367BEC">
        <w:rPr>
          <w:rFonts w:ascii="Times New Roman" w:hAnsi="Times New Roman" w:cs="Times New Roman"/>
        </w:rPr>
        <w:fldChar w:fldCharType="end"/>
      </w:r>
      <w:r w:rsidRPr="00367BEC">
        <w:rPr>
          <w:rFonts w:ascii="Times New Roman" w:hAnsi="Times New Roman"/>
        </w:rPr>
        <w:t xml:space="preserve"> y trastorno mental en tres pacientes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sAnxInxe","properties":{"formattedCitation":"(19)","plainCitation":"(19)","noteIndex":0},"citationItems":[{"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(19)</w:t>
      </w:r>
      <w:r w:rsidR="00F50315" w:rsidRPr="00367BEC">
        <w:rPr>
          <w:rFonts w:ascii="Times New Roman" w:hAnsi="Times New Roman" w:cs="Times New Roman"/>
        </w:rPr>
        <w:fldChar w:fldCharType="end"/>
      </w:r>
      <w:r w:rsidRPr="00367BEC">
        <w:rPr>
          <w:rFonts w:ascii="Times New Roman" w:hAnsi="Times New Roman"/>
        </w:rPr>
        <w:t xml:space="preserve">. Además, la aparición de acontecimientos adversos durante el tratamiento con tapentadol fue similar a la observada con la oxicodona y el tramadol </w:t>
      </w:r>
      <w:r w:rsidR="00F50315"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cpuNZYHw","properties":{"formattedCitation":"(12,21)","plainCitation":"(12,21)","noteIndex":0},"citationItems":[{"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F50315" w:rsidRPr="00367BEC">
        <w:rPr>
          <w:rFonts w:ascii="Times New Roman" w:hAnsi="Times New Roman" w:cs="Times New Roman"/>
        </w:rPr>
        <w:fldChar w:fldCharType="separate"/>
      </w:r>
      <w:r w:rsidR="00C56A05" w:rsidRPr="00367BEC">
        <w:rPr>
          <w:rFonts w:ascii="Times New Roman" w:hAnsi="Times New Roman" w:cs="Times New Roman"/>
        </w:rPr>
        <w:t>(12,21)</w:t>
      </w:r>
      <w:r w:rsidR="00F50315" w:rsidRPr="00367BEC">
        <w:rPr>
          <w:rFonts w:ascii="Times New Roman" w:hAnsi="Times New Roman" w:cs="Times New Roman"/>
        </w:rPr>
        <w:fldChar w:fldCharType="end"/>
      </w:r>
      <w:r w:rsidRPr="00367BEC">
        <w:rPr>
          <w:rFonts w:ascii="Times New Roman" w:hAnsi="Times New Roman"/>
        </w:rPr>
        <w:t xml:space="preserve">. Este último no se comparó estadísticamente con el tapentadol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dWmDGASv","properties":{"formattedCitation":"(12)","plainCitation":"(12)","noteIndex":0},"citationItems":[{"id":43038,"uris":["http://zotero.org/groups/2141613/items/TFJJ8VH7"],"uri":["http://zotero.org/groups/2141613/items/TFJJ8VH7"],"itemData":{"id":43038,"type":"article-journal","abstract":"Nontraumatic musculoskeletal disorders are the main reason for presentation to the emergency department (ED), with rachialgia (back pain) being the most common reason to request medical assessment among them. This also generates the highest demand for reassessments due to poor pain control or onset of adverse reactions to the treatment prescribed in the initial assessment.A retrospective observational study based on usual clinical practice was conducted in patients attending the ED due to low back pain during a period of 24 months. The primary objective was to determine the demand for reassessments in the ED by these patients in the following 30 days, according to the type of therapeutic approach used in the initial assessment.A total of 732 patients who requested medical assessment due to back pain in the ED of our hospital were analyzed, 91 of whom were treated with tapentadol whereas 641 received another treatment. In the first month after the initial assessment, reassessments were less common in the tapentadol group; this difference was significant from days 8 to 15 (P = 0.001, odds ratio [OR] 0.252 with 95% confidence interval [CI] 0.100-0.635) and days 15 to 30 (P &lt; 10, OR 0.277 with 95% CI 0.136-0.563). Patients who received tapentadol also had a better clinical evolution of pain compared to those who did not receive it (P &lt; 10) and to those who received tramadol (P &lt; 10).In this study in patients with back pain, tapentadol shows clear advantages over the other analgesics analyzed, in terms of pain control and less need for reassessments.","archive_location":"29137025","container-title":"Medicine (Baltimore)","DOI":"10.1097/md.0000000000008403","ISSN":"0025-7974","issue":"45","journalAbbreviation":"Medicine","language":"eng","page":"e8403","source":"NLM","title":"Tapentadol versus tramadol in the management of low back pain in the emergency department: Impact of use on the need for reassessments","title-short":"Tapentadol versus tramadol in the management of low back pain in the emergency department: Impact of use on the need for reassessments","volume":"96","author":[{"family":"Guillen-Astete","given":"C. A."},{"family":"Cardona-Carballo","given":"C."},{"family":"Casa-Resino","given":"C.","non-dropping-particle":"de la"}],"issued":{"date-parts":[["2017",11]]}}}],"schema":"https://github.com/citation-style-language/schema/raw/master/csl-citation.json"}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(12)</w:t>
      </w:r>
      <w:r w:rsidR="00CB1C6B" w:rsidRPr="00367BEC">
        <w:rPr>
          <w:rFonts w:ascii="Times New Roman" w:hAnsi="Times New Roman" w:cs="Times New Roman"/>
        </w:rPr>
        <w:fldChar w:fldCharType="end"/>
      </w:r>
      <w:r w:rsidRPr="00367BEC">
        <w:rPr>
          <w:rFonts w:ascii="Times New Roman" w:hAnsi="Times New Roman"/>
        </w:rPr>
        <w:t xml:space="preserve">. De manera similar, no se observaron diferencias en cuanto a los abandonos asociados a acontecimientos adversos entre el tapentadol y la oxicodona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MJUpFVkj","properties":{"formattedCitation":"(21)","plainCitation":"(21)","noteIndex":0},"citationItems":[{"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(21)</w:t>
      </w:r>
      <w:r w:rsidR="00CB1C6B" w:rsidRPr="00367BEC">
        <w:rPr>
          <w:rFonts w:ascii="Times New Roman" w:hAnsi="Times New Roman" w:cs="Times New Roman"/>
        </w:rPr>
        <w:fldChar w:fldCharType="end"/>
      </w:r>
      <w:r w:rsidRPr="00367BEC">
        <w:rPr>
          <w:rFonts w:ascii="Times New Roman" w:hAnsi="Times New Roman"/>
        </w:rPr>
        <w:t>. En la Tabla 14 se muestra una descripción detallada de los acontecimientos adversos.</w:t>
      </w:r>
    </w:p>
    <w:p w14:paraId="57340EC6" w14:textId="461DB63B" w:rsidR="00035E5D" w:rsidRPr="00367BEC" w:rsidRDefault="00AC7575" w:rsidP="00CF1C1E">
      <w:pPr>
        <w:spacing w:after="0" w:line="480" w:lineRule="auto"/>
        <w:jc w:val="both"/>
        <w:rPr>
          <w:rStyle w:val="Textoennegrita"/>
        </w:rPr>
      </w:pPr>
      <w:r w:rsidRPr="00367BEC">
        <w:rPr>
          <w:rStyle w:val="Textoennegrita"/>
        </w:rPr>
        <w:t>Riesgo de sesgo</w:t>
      </w:r>
    </w:p>
    <w:p w14:paraId="0033A355" w14:textId="081101E6" w:rsidR="00DC22EC" w:rsidRPr="00367BEC" w:rsidRDefault="00C826B4" w:rsidP="00CF1C1E">
      <w:pPr>
        <w:spacing w:after="0" w:line="480" w:lineRule="auto"/>
        <w:ind w:left="-6"/>
        <w:jc w:val="both"/>
        <w:rPr>
          <w:rFonts w:ascii="Times New Roman" w:hAnsi="Times New Roman" w:cs="Times New Roman"/>
        </w:rPr>
      </w:pPr>
      <w:r w:rsidRPr="00367BEC">
        <w:rPr>
          <w:rFonts w:ascii="Times New Roman" w:hAnsi="Times New Roman"/>
        </w:rPr>
        <w:t xml:space="preserve">En general, los estudios se calificaron como de mala calidad, salvo por 4/14 (28,6 %) estudios que se calificaron de calidad regular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u74fODZt","properties":{"formattedCitation":"(10,11,15,21)","plainCitation":"(10,11,15,21)","noteIndex":0},"citationItems":[{"id":43036,"uris":["http://zotero.org/groups/2141613/items/TAQECIBB"],"uri":["http://zotero.org/groups/2141613/items/TAQECIBB"],"itemData":{"id":43036,"type":"article-journal","abstract":"CONTEXT: Myeloma bone disease (MBD) is a devastating complication of multiple myeloma that leads to severe pain. OBJECTIVES: The aim of this study was to evaluate the efficacy and tolerability of tapentadol prolonged release (PR) in the management of patients with MBD suffering from moderate-to-severe cancer pain. METHODS: A 12-week prospective study was carried out in 25 opioid-naive MBD patients. Patients initially received twice-daily doses of tapentadol PR 50 mg. Doses were then managed to maintain adequate relief or dose-limiting toxicity. The following parameters were recorded at weekly intervals for 4 weeks, and then at weeks 8 and 12: pain, opioid-related adverse effects, use of other analgesics, DN4 (Douleur Neuropathique 4) score. Quality of life (SF-36 [36-item short-form health survey]) was measured at baseline and at final evaluation. RESULTS: Of 25 patients, 22 completed the study. Pain intensity significantly decreased from baseline to all the week intervals (P&lt;0.01). Quality of life significantly improved with respect to all SF-36 subscale parameters (P&lt;0.01), and so did both the physical and mental status (P&lt;0.01). Tapentadol PR significantly reduced DN4 mean value (P&lt;0.01) and the number of patients with neuropathic component (DN4 &gt;/=4) (P&lt;0.01). After 8 weeks of treatment, all patients were negative for the DN4 score. Tapentadol PR was well tolerated, and the use of other analgesics was reduced during the study period. CONCLUSION: Tapentadol PR started in doses of 100 mg/day was effective and well tolerated in opioid-naive MBD patients with moderate-to-severe pain. Tapentadol PR can be considered a first-choice opioid in cancer patients suffering from mixed pain with a neuropathic component.","archive_location":"26064064","container-title":"J Pain Res","DOI":"10.2147/jpr.s83490","ISSN":"1178-7090 (Print) 1178-7090","journalAbbreviation":"Journal of pain research","language":"eng","page":"229-38","source":"NLM","title":"Tapentadol prolonged release for patients with multiple myeloma suffering from moderate-to-severe cancer pain due to bone disease","title-short":"Tapentadol prolonged release for patients with multiple myeloma suffering from moderate-to-severe cancer pain due to bone disease","volume":"8","author":[{"family":"Coluzzi","given":"F."},{"family":"Raffa","given":"R. B."},{"family":"Pergolizzi","given":"J."},{"family":"Rocco","given":"A."},{"family":"Locarini","given":"P."},{"family":"Cenfra","given":"N."},{"family":"Cimino","given":"G."},{"family":"Mattia","given":"C."}],"issued":{"date-parts":[["2015"]]}},"label":"page"},{"id":43037,"uris":["http://zotero.org/groups/2141613/items/2ZDPA9R7"],"uri":["http://zotero.org/groups/2141613/items/2ZDPA9R7"],"itemData":{"id":43037,"type":"article-journal","abstract":"Background: Chronic back pain is a leading cause of disability worldwide and it is still inadequately treated. Tapentadol is a dual-acting analgesic drug μ-opioid receptor (MOR) agonist/norepinephrine reuptake inhibitor, carrying a lower risk for opioid withdrawal symptoms and opioid-related adverse effects in comparison to potent opioid drugs. This study investigates the effectiveness, safety and tolerability of the prolonged release oral formulation of tapentadol (tapentadol PR) in 27 patients affected by refractory chronic low back pain during a long-term follow-up (up to 51 months). Methods: This is an observational study conducted at the Pain Therapy and Palliative care Unit of University Hospital of Cagliari, Italy. We enrolled 27 patients affected by chronic low back pain refractory to other pharmacological treatments according to the inclusion criteria. We prospectively evaluated oral tapentadol Pr therapy during a long-term follow-up (up to 51 months) according to the following outcomes: pain intensity during the previous 72 hours (Numeric Rating Scale 3), quality of life (Short Form-12 Health Survey), self-reported treatment effectiveness (Patient Global Impression of Change scale), physician evaluation of treatment effectiveness (Clinician Global Impression of Change scale), treatment-related adverse effects, reason for tapentadol therapy interruption and tapentadol dosage. RESULTS: All the patients reported a significant improvement of pain intensity and quality of life at the last follow-up. CONCLUSIONS: These results show the long-term effectiveness, safety and tolerability of oral tapentadol Pr for the treatment of refractory chronic low back pain in a real-life clinical setting. (Cite this article as: Finco G, Mura P, Musu M, deidda c, Saba M, demelas i, et al. Long-term, prolonged-release oral tapentadol for the treatment of refractory chronic low back pain: a single-center, observational study.","archive":"Embase Medline","container-title":"Minerva Medica","DOI":"10.23736/S0026-4806.18.05641-0","ISSN":"0026-4806","issue":"4","language":"English","page":"259-265","title":"Long-term, prolonged-release oral tapentadol for the treatment of refractory chronic low back pain: A single-center, observational study","title-short":"Long-term, prolonged-release oral tapentadol for the treatment of refractory chronic low back pain: A single-center, observational study","volume":"109","author":[{"family":"Finco","given":"G."},{"family":"Mura","given":"P."},{"family":"Musu","given":"M."},{"family":"Deidda","given":"C."},{"family":"Saba","given":"M."},{"family":"Demelas","given":"I."},{"family":"Evangelista","given":"M."},{"family":"Sardo","given":"S."}],"issued":{"date-parts":[["2018"]]}},"label":"page"},{"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(10,11,15,21)</w:t>
      </w:r>
      <w:r w:rsidR="00CB1C6B" w:rsidRPr="00367BEC">
        <w:rPr>
          <w:rFonts w:ascii="Times New Roman" w:hAnsi="Times New Roman" w:cs="Times New Roman"/>
        </w:rPr>
        <w:fldChar w:fldCharType="end"/>
      </w:r>
      <w:r w:rsidRPr="00367BEC">
        <w:rPr>
          <w:rFonts w:ascii="Times New Roman" w:hAnsi="Times New Roman"/>
        </w:rPr>
        <w:t>. Estos estudios destacan por su transparencia y el control de las amenazas a la validez interna. En la Tabla 15 se muestra una evaluación detallada del riesgo de sesgo para cada uno de los estudios.</w:t>
      </w:r>
    </w:p>
    <w:p w14:paraId="09DF1CBE" w14:textId="77777777" w:rsidR="00CF1C1E" w:rsidRPr="00367BEC" w:rsidRDefault="00CF1C1E" w:rsidP="00CF1C1E">
      <w:pPr>
        <w:spacing w:before="120" w:after="120" w:line="480" w:lineRule="auto"/>
        <w:jc w:val="both"/>
        <w:rPr>
          <w:rFonts w:cstheme="minorHAnsi"/>
          <w:b/>
          <w:bCs/>
        </w:rPr>
      </w:pPr>
      <w:r w:rsidRPr="00367BEC">
        <w:rPr>
          <w:b/>
        </w:rPr>
        <w:t>DISCUSIÓN</w:t>
      </w:r>
    </w:p>
    <w:p w14:paraId="782B4147" w14:textId="309C0220" w:rsidR="00473228" w:rsidRPr="00367BEC" w:rsidRDefault="00560B2C" w:rsidP="00CF1C1E">
      <w:pPr>
        <w:spacing w:after="0" w:line="480" w:lineRule="auto"/>
        <w:jc w:val="both"/>
        <w:rPr>
          <w:rFonts w:ascii="Times New Roman" w:hAnsi="Times New Roman" w:cs="Times New Roman"/>
        </w:rPr>
      </w:pPr>
      <w:r w:rsidRPr="00367BEC">
        <w:rPr>
          <w:rFonts w:ascii="Times New Roman" w:hAnsi="Times New Roman"/>
        </w:rPr>
        <w:t xml:space="preserve">La presente revisión sistemática de estudios observacionales sin intervención describe datos de la vida real sobre el uso del tapentadol para el control del dolor en Europa desde su aprobación a finales de 2010. En general, los participantes del estudio eran adultos mayores con dolor relacionado o no relacionado con el cáncer y de múltiples etiologías, que incluía un componente de dolor neuropático en la mayoría de los casos, con diversas comorbilidades, y la mayoría de ellos ya habían recibido tratamiento con opioides. A una mediana de 53,5 [99,0] participantes de los estudios incluidos se les </w:t>
      </w:r>
      <w:r w:rsidR="00784720">
        <w:rPr>
          <w:rFonts w:ascii="Times New Roman" w:hAnsi="Times New Roman"/>
        </w:rPr>
        <w:t>prescribieron</w:t>
      </w:r>
      <w:r w:rsidR="00784720" w:rsidRPr="00367BEC">
        <w:rPr>
          <w:rFonts w:ascii="Times New Roman" w:hAnsi="Times New Roman"/>
        </w:rPr>
        <w:t xml:space="preserve"> </w:t>
      </w:r>
      <w:r w:rsidRPr="00367BEC">
        <w:rPr>
          <w:rFonts w:ascii="Times New Roman" w:hAnsi="Times New Roman"/>
        </w:rPr>
        <w:t xml:space="preserve">dosis iniciales de tapentadol de entre ≥100 mg/día y &lt;150 mg/día con ajustes de la dosis al alza hasta más de 150 mg/día al final del periodo de observación (mediana de 12 [0] semanas), con una mediana de 213,6 [57,7] mg/día. Estas dosis se encuentran entre los valores más bajos del intervalo de prescripción en ensayos clínicos </w:t>
      </w:r>
      <w:r w:rsidRPr="00367BEC">
        <w:rPr>
          <w:rFonts w:ascii="Times New Roman" w:hAnsi="Times New Roman"/>
        </w:rPr>
        <w:lastRenderedPageBreak/>
        <w:t xml:space="preserve">controlados (100-250 mg dos veces al día) y muy por debajo de la dosis máxima recomendada de 500 mg/día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4ASfPnmk","properties":{"formattedCitation":"(1)","plainCitation":"(1)","noteIndex":0},"citationItems":[{"id":44372,"uris":["http://zotero.org/groups/2141613/items/SF5RI3PV"],"uri":["http://zotero.org/groups/2141613/items/SF5RI3PV"],"itemData":{"id":44372,"type":"article-journal","abstract":"Tapentadol prolonged release (PR) for the treatment of moderate to severe chronic pain combines 2 modes of action. These are mu-opioid receptor agonism and noradrenaline reuptake inhibition in a single molecule that allow higher analgesic potency through modulation of different pharmacological targets within the pain transmitting systems. At the same time, this can also serve as a clue for modulation of different pain-generating mechanisms according to nociceptive, neuropathic, or mixed pain conditions. Tapentadol PR has now been on the market for 5 years, with over 4.6 million people treated worldwide. A panel of pain specialists convened in Germany to review the clinical program and to discuss the role of tapentadol PR in the management of chronic pain. The clinical study program demonstrated effective and generally well-tolerated treatment for up to 2 years in a broad range of chronic pain conditions, including those with neuropathic pain components. This was confirmed in routine clinical practice observations. Head-to-head studies with World Health Organization (WHO) III opioids such as oxycodone controlled release and oxycodone/naloxone PR showed at least comparable pain relief in the treatment of moderate-to-severe musculoskeletal pain. Rotation from poorly tolerated WHO III opioids to tapentadol PR provided effective pain relief and better symptom control for musculoskeletal pain compared to previous medication. Functionality, health status and quality of life also improved under tapentadol PR treatment. The gastrointestinal tolerability profile was more favorable compared to other tested WHO III opioids. Tapentadol PR has a good safety profile and no evidence of acquired tolerance from the long-term data so far collected. Overall, tapentadol PR represents an effective and generally well-tolerated alternative to \"classical\" opioidergic drugs.","archive_location":"27611642","container-title":"Pain Pract","DOI":"10.1111/papr.12515","ISSN":"1530-7085","issue":"5","journalAbbreviation":"Pain practice : the official journal of World Institute of Pain","language":"eng","page":"678-700","source":"Nlm","title":"Tapentadol Prolonged Release for Chronic Pain: A Review of Clinical Trials and 5 Years of Routine Clinical Practice Data","title-short":"Tapentadol Prolonged Release for Chronic Pain: A Review of Clinical Trials and 5 Years of Routine Clinical Practice Data","volume":"17","author":[{"family":"Baron","given":"Ralf"},{"family":"Eberhart","given":"L."},{"family":"Kern","given":"K. U."},{"family":"Regner","given":"S."},{"family":"Rolke","given":"R."},{"family":"Simanski","given":"C."},{"family":"Tolle","given":"T."}],"issued":{"date-parts":[["2016",6]]}}}],"schema":"https://github.com/citation-style-language/schema/raw/master/csl-citation.json"}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w:t>
      </w:r>
      <w:r w:rsidR="00CB1C6B" w:rsidRPr="00367BEC">
        <w:rPr>
          <w:rFonts w:ascii="Times New Roman" w:hAnsi="Times New Roman" w:cs="Times New Roman"/>
        </w:rPr>
        <w:fldChar w:fldCharType="end"/>
      </w:r>
      <w:r w:rsidRPr="00367BEC">
        <w:rPr>
          <w:rFonts w:ascii="Times New Roman" w:hAnsi="Times New Roman"/>
        </w:rPr>
        <w:t>. En todos los estudios en los que se notificó la intensidad del dolor (100 %) o se evaluó el dolor neuropático con los cuestionarios DN4 o PDQ</w:t>
      </w:r>
      <w:r w:rsidRPr="00367BEC">
        <w:rPr>
          <w:rFonts w:ascii="Times New Roman" w:hAnsi="Times New Roman"/>
          <w:vertAlign w:val="subscript"/>
        </w:rPr>
        <w:t>7</w:t>
      </w:r>
      <w:r w:rsidRPr="00367BEC">
        <w:rPr>
          <w:rFonts w:ascii="Times New Roman" w:hAnsi="Times New Roman"/>
        </w:rPr>
        <w:t xml:space="preserve"> (36 %) se observaron reducciones significativas que confirman el efecto analgésico del tapentadol notificado en ensayos clínicos controlados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EnQeo8OR","properties":{"formattedCitation":"(1,22)","plainCitation":"(1,22)","noteIndex":0},"citationItems":[{"id":44372,"uris":["http://zotero.org/groups/2141613/items/SF5RI3PV"],"uri":["http://zotero.org/groups/2141613/items/SF5RI3PV"],"itemData":{"id":44372,"type":"article-journal","abstract":"Tapentadol prolonged release (PR) for the treatment of moderate to severe chronic pain combines 2 modes of action. These are mu-opioid receptor agonism and noradrenaline reuptake inhibition in a single molecule that allow higher analgesic potency through modulation of different pharmacological targets within the pain transmitting systems. At the same time, this can also serve as a clue for modulation of different pain-generating mechanisms according to nociceptive, neuropathic, or mixed pain conditions. Tapentadol PR has now been on the market for 5 years, with over 4.6 million people treated worldwide. A panel of pain specialists convened in Germany to review the clinical program and to discuss the role of tapentadol PR in the management of chronic pain. The clinical study program demonstrated effective and generally well-tolerated treatment for up to 2 years in a broad range of chronic pain conditions, including those with neuropathic pain components. This was confirmed in routine clinical practice observations. Head-to-head studies with World Health Organization (WHO) III opioids such as oxycodone controlled release and oxycodone/naloxone PR showed at least comparable pain relief in the treatment of moderate-to-severe musculoskeletal pain. Rotation from poorly tolerated WHO III opioids to tapentadol PR provided effective pain relief and better symptom control for musculoskeletal pain compared to previous medication. Functionality, health status and quality of life also improved under tapentadol PR treatment. The gastrointestinal tolerability profile was more favorable compared to other tested WHO III opioids. Tapentadol PR has a good safety profile and no evidence of acquired tolerance from the long-term data so far collected. Overall, tapentadol PR represents an effective and generally well-tolerated alternative to \"classical\" opioidergic drugs.","archive_location":"27611642","container-title":"Pain Pract","DOI":"10.1111/papr.12515","ISSN":"1530-7085","issue":"5","journalAbbreviation":"Pain practice : the official journal of World Institute of Pain","language":"eng","page":"678-700","source":"Nlm","title":"Tapentadol Prolonged Release for Chronic Pain: A Review of Clinical Trials and 5 Years of Routine Clinical Practice Data","title-short":"Tapentadol Prolonged Release for Chronic Pain: A Review of Clinical Trials and 5 Years of Routine Clinical Practice Data","volume":"17","author":[{"family":"Baron","given":"Ralf"},{"family":"Eberhart","given":"L."},{"family":"Kern","given":"K. U."},{"family":"Regner","given":"S."},{"family":"Rolke","given":"R."},{"family":"Simanski","given":"C."},{"family":"Tolle","given":"T."}],"issued":{"date-parts":[["2016",6]]}},"label":"page"},{"id":44403,"uris":["http://zotero.org/groups/2141613/items/7R7T9CLZ"],"uri":["http://zotero.org/groups/2141613/items/7R7T9CLZ"],"itemData":{"id":44403,"type":"article-journal","container-title":"Journal of Pain Research","DOI":"10.2147/JPR.S190162","ISSN":"1178-7090","journalAbbreviation":"JPR","language":"en","page":"1537-1551","source":"DOI.org (Crossref)","title":"Tapentadol for neuropathic pain: a review of clinical studies","title-short":"Tapentadol for neuropathic pain","volume":"Volume 12","author":[{"family":"Freo","given":"Ulderico"},{"family":"Romualdi","given":"Patrizia"},{"family":"Kress","given":"Hans G"}],"issued":{"date-parts":[["2019",5]]}},"label":"page"}],"schema":"https://github.com/citation-style-language/schema/raw/master/csl-citation.json"}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(1,22)</w:t>
      </w:r>
      <w:r w:rsidR="00CB1C6B" w:rsidRPr="00367BEC">
        <w:rPr>
          <w:rFonts w:ascii="Times New Roman" w:hAnsi="Times New Roman" w:cs="Times New Roman"/>
        </w:rPr>
        <w:fldChar w:fldCharType="end"/>
      </w:r>
      <w:r w:rsidRPr="00367BEC">
        <w:rPr>
          <w:rFonts w:ascii="Times New Roman" w:hAnsi="Times New Roman"/>
        </w:rPr>
        <w:t xml:space="preserve">. </w:t>
      </w:r>
    </w:p>
    <w:p w14:paraId="281A424F" w14:textId="6C0A6348" w:rsidR="007F7530" w:rsidRPr="00367BEC" w:rsidRDefault="00DD4DF5" w:rsidP="00CF1C1E">
      <w:pPr>
        <w:spacing w:after="0" w:line="480" w:lineRule="auto"/>
        <w:jc w:val="both"/>
        <w:rPr>
          <w:rFonts w:ascii="Times New Roman" w:hAnsi="Times New Roman" w:cs="Times New Roman"/>
        </w:rPr>
      </w:pPr>
      <w:r w:rsidRPr="00367BEC">
        <w:rPr>
          <w:rFonts w:ascii="Times New Roman" w:hAnsi="Times New Roman"/>
        </w:rPr>
        <w:t>Estos hallazgos apuntan a que el mecanismo de acción MOR-</w:t>
      </w:r>
      <w:r w:rsidR="00784720">
        <w:rPr>
          <w:rFonts w:ascii="Times New Roman" w:hAnsi="Times New Roman"/>
        </w:rPr>
        <w:t>NRI</w:t>
      </w:r>
      <w:r w:rsidR="00784720" w:rsidRPr="00367BEC">
        <w:rPr>
          <w:rFonts w:ascii="Times New Roman" w:hAnsi="Times New Roman"/>
        </w:rPr>
        <w:t xml:space="preserve"> </w:t>
      </w:r>
      <w:r w:rsidRPr="00367BEC">
        <w:rPr>
          <w:rFonts w:ascii="Times New Roman" w:hAnsi="Times New Roman"/>
        </w:rPr>
        <w:t xml:space="preserve">combinado del tapentadol permite obtener un efecto analgésico con las dosis más bajas del intervalo de prescripción. No obstante, las evaluaciones de la calidad de los estudios de la revisión sistemática que nos ocupa revelaron que en ningún estudio se examinaron los niveles de exposición en relación con los criterios de valoración. Por tanto, no se puede establecer una relación dosis-respuesta. Los resultados de esta revisión sistemática mostraron que el estudio con el mayor aumento de la dosis, en las 12 semanas del periodo de observación, es en el que se observó una mayor respuesta analgésica, en comparación con el estudio con la dosis más baja al final del periodo de observación de 24 semanas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J0qpy7td","properties":{"formattedCitation":"(15,21)","plainCitation":"(15,21)","noteIndex":0},"citationItems":[{"id":43041,"uris":["http://zotero.org/groups/2141613/items/7BLTP58S"],"uri":["http://zotero.org/groups/2141613/items/7BLTP58S"],"itemData":{"id":43041,"type":"article-journal","abstract":"Background: This pilot study was designed to compare the efficacy of ultramicronized palmitoylethanolamide (um-PEA) as add-on therapy to tapentadol (TP) with TP therapy only in patients suffering from chronic low back pain (LBP). Methods: This pilot observational study consists in two arms: the prospective arm and the retrospective one. In the prospective arm patients consecutively selected received um-PEA as add-on therapy to TP for 6 months; in the retrospective arm patients were treated with TP only for 6 months. Pain intensity and neuropathic component were evaluated at baseline, during and after 6 months. The degree of disability and TP dosage assumption were evaluated at baseline and after 6 months. Results: Statistical analysis performed with generalized linear mixed model on 55 patients (30 in the prospective group and 25 in the retrospective group) demonstrated that um-PEA as add-on treatment to TP in patients with chronic LBP, in comparison to TP alone, led to a significantly higher reduction in pain intensity, in the neuropathic component, the degree of disability and TP dosage assumption. No serious side effects were observed. Conclusion: Overall, the present findings suggest that um-PEA may be an innovative therapeutic intervention as add-on therapy to TP for the management of chronic LBP with a neuropathic component, as well as to improve patient quality of life. Additionally, this combination treatment allowed a reduction in TP dose over time and did not show any serious side effects.","archive":"Embase Medline","container-title":"BMC Anesthesiology","DOI":"10.1186/s12871-017-0461-9","ISSN":"1471-2253","issue":"1","language":"English","title":"The beneficial use of ultramicronized palmitoylethanolamide as add-on therapy to Tapentadol in the treatment of low back pain: A pilot study comparing prospective and retrospective observational arms","title-short":"The beneficial use of ultramicronized palmitoylethanolamide as add-on therapy to Tapentadol in the treatment of low back pain: A pilot study comparing prospective and retrospective observational arms","URL":"http://www.embase.com/search/results?subaction=viewrecord&amp;from=export&amp;id=L619775660 http://dx.doi.org/10.1186/s12871-017-0461-9","volume":"17","author":[{"family":"Passavanti","given":"M. B."},{"family":"Fiore","given":"M."},{"family":"Sansone","given":"P."},{"family":"Aurilio","given":"C."},{"family":"Pota","given":"V."},{"family":"Barbarisi","given":"M."},{"family":"Fierro","given":"D."},{"family":"Pace","given":"M. C."}],"issued":{"date-parts":[["2017"]]}},"label":"page"},{"id":43047,"uris":["http://zotero.org/groups/2141613/items/GGLUACQC"],"uri":["http://zotero.org/groups/2141613/items/GGLUACQC"],"itemData":{"id":43047,"type":"article-journal","abstract":"Objective: To evaluate the benefit–risk profile (BRP) of oxycodone/naloxone (OXN) and tapentadol (TAP) in patients with chronic low back pain (cLBP) with a neuropathic component (NC) in routine clinical practice. Methods: This was a blinded end point analysis of randomly selected 12-week routine/openlabel data of the German Pain Registry on adult patients with cLBP-NC who initiated an index treatment in compliance with the current German prescribing information between 1st January and 31st October 2015 (OXN/TAP, n=128/133). Primary end point was defined as a composite of three efficacy components (≥30% improvement of pain, pain-related disability, and quality of life each at the end of observation vs baseline) and three tolerability components (normal bowel function, absence of either central nervous system side effects, and treatment-emergent adverse event [TEAE]-related treatment discontinuation during the observation period) adopted to reflect BRP assessments under real-life conditions. Results: Demographic as well as baseline and pretreatment characteristics were comparable for the randomly selected data sets of both index groups without any indicators for critical selection biases. Treatment with OXN resulted formally in a BRP noninferior to that of TAP and showed a significantly higher primary end point response vs TAP (39.8% vs 25.6%, odds ratio: 1.93; P=0.014), due to superior analgesic effects. Between-group differences increased with stricter response definitions for all three efficacy components in favor of OXN: ≥30%/≥50%/≥70% response rates for OXN vs TAP were seen for pain intensity in 85.2%/67.2%/39.1% vs 83.5%/54.1%/15.8% (P= ns/0.031/&lt;0.001), for pain-related disability in 78.1%/64.8%/43.8% vs 66.9%/50.4%/24.8% (P=0.043/0.018/0.001), and for quality of life in 76.6%/68.0%/50.0% vs 63.9%/54.1%/34.6% (P=0.026/0.022/0.017). Overall, OXN vs TAP treatments were well tolerated, and proportions of patients who either maintained a normal bowel function (68.0% vs 72.2%), reported no central nervous system side effects (91.4% vs 89.5%), or completed the 12-week evaluation period without any TEAE-related treatment discontinuations (93.0% vs 92.5%) were similar for both index medications (P= ns for each comparison). Conclusion: In daily practice, the BRP of OXN proved to be noninferior to that of TAP in patients with cLBP-NC, but showed a superior efficacy if stricter analgesic response definitions were evaluated.","archive":"Embase","container-title":"Journal of Pain Research","DOI":"10.2147/JPR.S112418","ISSN":"1178-7090","language":"English","page":"1001-1020","title":"Efficacy and tolerability balance of oxycodone/ naloxone and tapentadol in chronic low back pain with a neuropathic component: A blinded end point analysis of randomly selected routine data from 12-week prospective open-label observations","title-short":"Efficacy and tolerability balance of oxycodone/ naloxone and tapentadol in chronic low back pain with a neuropathic component: A blinded end point analysis of randomly selected routine data from 12-week prospective open-label observations","volume":"9","author":[{"family":"Ueberall","given":"M. A."},{"family":"Mueller-Schwefe","given":"G. H. H."}],"issued":{"date-parts":[["2016"]]}},"label":"page"}],"schema":"https://github.com/citation-style-language/schema/raw/master/csl-citation.json"}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(15,21)</w:t>
      </w:r>
      <w:r w:rsidR="00CB1C6B" w:rsidRPr="00367BEC">
        <w:rPr>
          <w:rFonts w:ascii="Times New Roman" w:hAnsi="Times New Roman" w:cs="Times New Roman"/>
        </w:rPr>
        <w:fldChar w:fldCharType="end"/>
      </w:r>
      <w:r w:rsidRPr="00367BEC">
        <w:rPr>
          <w:rFonts w:ascii="Times New Roman" w:hAnsi="Times New Roman"/>
        </w:rPr>
        <w:t xml:space="preserve">. Los estudios destinados a establecer una relación dosis-respuesta podrían arrojar luz sobre este asunto. Por ejemplo, en un ensayo clínico previo, los pacientes con lumbalgia crónica intensa con un componente neuropático y que respondieron bien a una dosis de 300 mg/día de tapentadol al final del periodo de ajuste de la dosis, mostraron una evolución significativamente mejor que aquellos que respondieron parcialmente a la dosis de 300 mg/día de tapentadol al final del periodo de ajuste de la dosis, y hubo que aumentarles la dosis a 500 mg/día </w:t>
      </w:r>
      <w:r w:rsidR="001A1516"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4gRwN58R","properties":{"formattedCitation":"(23)","plainCitation":"(23)","noteIndex":0},"citationItems":[{"id":44393,"uris":["http://zotero.org/groups/2141613/items/KJG2C84E"],"uri":["http://zotero.org/groups/2141613/items/KJG2C84E"],"itemData":{"id":44393,"type":"article-journal","container-title":"Pain Practice","DOI":"10.1111/papr.12199","ISSN":"15307085","issue":"5","journalAbbreviation":"Pain Pract","language":"en","page":"471-486","source":"DOI.org (Crossref)","title":"Effectiveness and Tolerability of a Moderate Dose of Tapentadol Prolonged Release for Managing Severe, Chronic Low Back Pain with a Neuropathic Component: An Open-label Continuation Arm of a Randomized Phase 3b Study","title-short":"Effectiveness and Tolerability of a Moderate Dose of Tapentadol Prolonged Release for Managing Severe, Chronic Low Back Pain with a Neuropathic Component","volume":"15","author":[{"family":"Baron","given":"Ralf"},{"family":"Kern","given":"Uwe"},{"family":"Müller","given":"Matthias"},{"family":"Dubois","given":"Cecile"},{"family":"Falke","given":"Dietmar"},{"family":"Steigerwald","given":"Ilona"}],"issued":{"date-parts":[["2015",6]]}}}],"schema":"https://github.com/citation-style-language/schema/raw/master/csl-citation.json"} </w:instrText>
      </w:r>
      <w:r w:rsidR="001A1516" w:rsidRPr="00367BEC">
        <w:rPr>
          <w:rFonts w:ascii="Times New Roman" w:hAnsi="Times New Roman" w:cs="Times New Roman"/>
        </w:rPr>
        <w:fldChar w:fldCharType="separate"/>
      </w:r>
      <w:r w:rsidR="00C56A05" w:rsidRPr="00367BEC">
        <w:rPr>
          <w:rFonts w:ascii="Times New Roman" w:hAnsi="Times New Roman" w:cs="Times New Roman"/>
        </w:rPr>
        <w:t>(23)</w:t>
      </w:r>
      <w:r w:rsidR="001A1516" w:rsidRPr="00367BEC">
        <w:rPr>
          <w:rFonts w:ascii="Times New Roman" w:hAnsi="Times New Roman" w:cs="Times New Roman"/>
        </w:rPr>
        <w:fldChar w:fldCharType="end"/>
      </w:r>
      <w:r w:rsidRPr="00367BEC">
        <w:rPr>
          <w:rFonts w:ascii="Times New Roman" w:hAnsi="Times New Roman"/>
        </w:rPr>
        <w:t>. Desafortunadamente, de los resultados de este estudio no se puede extraer una relación dosis-respuesta como la anterior. Así pues, se deben llevar a cabo estudios en los que se analicen criterios de valoración relacionados con diferentes dosis de tapentadol. Además, la mayoría de los estudios de esta revisión sistemática en los que se notificaron acontecimientos adversos mostraron una proporción más baja de pacientes con al menos un acontecimiento adverso respecto a lo notificado en los ensayos clínicos (57,5 %), y una proporción similar respecto a lo notificado en los ensayos observacionales (7,3 %)</w:t>
      </w:r>
      <w:r w:rsidR="004F143F"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uULtI6Zx","properties":{"formattedCitation":"(3)","plainCitation":"(3)","noteIndex":0},"citationItems":[{"id":43032,"uris":["http://zotero.org/groups/2141613/items/G3TLPKV5"],"uri":["http://zotero.org/groups/2141613/items/G3TLPKV5"],"itemData":{"id":43032,"type":"article-journal","abstract":"INTRODUCTION: Tapentadol is a centrally acting analgesic that has been available for the management of acute and chronic pain in routine clinical practice since 2009. METHODS: This is the first integrated descriptive analysis of post-marketing safety data following the use of tapentadol in a broad range of pain conditions relating to the topics overall safety, dose administration above approved dosages, administration during pregnancy, serotonin syndrome, respiratory depression, and convulsion. The data analyzed pertain to spontaneous reports from healthcare and non-healthcare professionals and were put in the context of safety information known from interventional and non-interventional trials. RESULTS: The first years of routine clinical practice experience with tapentadol have confirmed the tolerability profile that emerged from the clinical trials. Moreover, the reporting of expected side effects such as respiratory depression and convulsion was low and no major risks were identified. The evaluation of available post-marketing data did not confirm the theoretical risk of serotonin syndrome nor did it reveal unexpected side effects with administration of higher than recommended doses. CONCLUSION: More than 8 years after its first introduction, the favorable overall safety profile of tapentadol in the treatment of various pain conditions is maintained in the general population. FUNDING: Grunenthal GmbH.","archive_location":"29270779","container-title":"Adv Ther","DOI":"10.1007/s12325-017-0654-0","ISSN":"0741-238x","issue":"1","journalAbbreviation":"Advances in therapy","language":"eng","page":"12-30","source":"Nlm","title":"Review of Post-Marketing Safety Data on Tapentadol, a Centrally Acting Analgesic","title-short":"Review of Post-Marketing Safety Data on Tapentadol, a Centrally Acting Analgesic","volume":"35","author":[{"family":"Stollenwerk","given":"A."},{"family":"Sohns","given":"M."},{"family":"Heisig","given":"F."},{"family":"Elling","given":"C."},{"family":"Zabern","given":"D.","non-dropping-particle":"von"}],"issued":{"date-parts":[["2017",1]]}}}],"schema":"https://github.com/citation-style-language/schema/raw/master/csl-citation.json"} </w:instrText>
      </w:r>
      <w:r w:rsidR="004F143F" w:rsidRPr="00367BEC">
        <w:rPr>
          <w:rFonts w:ascii="Times New Roman" w:hAnsi="Times New Roman" w:cs="Times New Roman"/>
        </w:rPr>
        <w:fldChar w:fldCharType="separate"/>
      </w:r>
      <w:r w:rsidR="004F143F" w:rsidRPr="00367BEC">
        <w:rPr>
          <w:rFonts w:ascii="Times New Roman" w:hAnsi="Times New Roman" w:cs="Times New Roman"/>
        </w:rPr>
        <w:t>(3)</w:t>
      </w:r>
      <w:r w:rsidR="004F143F" w:rsidRPr="00367BEC">
        <w:rPr>
          <w:rFonts w:ascii="Times New Roman" w:hAnsi="Times New Roman" w:cs="Times New Roman"/>
        </w:rPr>
        <w:fldChar w:fldCharType="end"/>
      </w:r>
      <w:r w:rsidRPr="00367BEC">
        <w:rPr>
          <w:rFonts w:ascii="Times New Roman" w:hAnsi="Times New Roman"/>
        </w:rPr>
        <w:t xml:space="preserve">. </w:t>
      </w:r>
    </w:p>
    <w:p w14:paraId="719F6878" w14:textId="574474CE" w:rsidR="00E70FD4" w:rsidRPr="00367BEC" w:rsidRDefault="0003431F" w:rsidP="00CF1C1E">
      <w:pPr>
        <w:spacing w:after="0" w:line="480" w:lineRule="auto"/>
        <w:jc w:val="both"/>
        <w:rPr>
          <w:rFonts w:ascii="Times New Roman" w:hAnsi="Times New Roman" w:cs="Times New Roman"/>
        </w:rPr>
      </w:pPr>
      <w:r w:rsidRPr="00367BEC">
        <w:rPr>
          <w:rFonts w:ascii="Times New Roman" w:hAnsi="Times New Roman"/>
        </w:rPr>
        <w:t xml:space="preserve"> Básicamente, cabe esperar una posible mejora de la calidad de vida global si se puede conseguir una mejora de aspectos funcionales del paciente gracias a la </w:t>
      </w:r>
      <w:r w:rsidR="009E4001">
        <w:rPr>
          <w:rFonts w:ascii="Times New Roman" w:hAnsi="Times New Roman"/>
        </w:rPr>
        <w:t>efectividad</w:t>
      </w:r>
      <w:r w:rsidR="009E4001" w:rsidRPr="00367BEC">
        <w:rPr>
          <w:rFonts w:ascii="Times New Roman" w:hAnsi="Times New Roman"/>
        </w:rPr>
        <w:t xml:space="preserve"> </w:t>
      </w:r>
      <w:r w:rsidRPr="00367BEC">
        <w:rPr>
          <w:rFonts w:ascii="Times New Roman" w:hAnsi="Times New Roman"/>
        </w:rPr>
        <w:t xml:space="preserve">analgésica y la </w:t>
      </w:r>
      <w:r w:rsidRPr="00367BEC">
        <w:rPr>
          <w:rFonts w:ascii="Times New Roman" w:hAnsi="Times New Roman"/>
        </w:rPr>
        <w:lastRenderedPageBreak/>
        <w:t>tolerabilidad del tapentadol. Los resultados de la presente revisión sistemática indican que el uso de tapentadol en la práctica clínica habitual mejora la calidad de vida de manera significativa. Esto respalda los resultados de ensayos clínicos experimentales en los que se demostró firmemente que el tapentadol</w:t>
      </w:r>
      <w:r w:rsidR="005E78C8">
        <w:rPr>
          <w:rFonts w:ascii="Times New Roman" w:hAnsi="Times New Roman"/>
        </w:rPr>
        <w:t xml:space="preserve"> de</w:t>
      </w:r>
      <w:r w:rsidRPr="00367BEC">
        <w:rPr>
          <w:rFonts w:ascii="Times New Roman" w:hAnsi="Times New Roman"/>
        </w:rPr>
        <w:t xml:space="preserve"> </w:t>
      </w:r>
      <w:r w:rsidR="00784720">
        <w:rPr>
          <w:rFonts w:ascii="Times New Roman" w:hAnsi="Times New Roman"/>
        </w:rPr>
        <w:t>liberación prolongada</w:t>
      </w:r>
      <w:r w:rsidR="00784720" w:rsidRPr="00367BEC">
        <w:rPr>
          <w:rFonts w:ascii="Times New Roman" w:hAnsi="Times New Roman"/>
        </w:rPr>
        <w:t xml:space="preserve"> </w:t>
      </w:r>
      <w:r w:rsidRPr="00367BEC">
        <w:rPr>
          <w:rFonts w:ascii="Times New Roman" w:hAnsi="Times New Roman"/>
        </w:rPr>
        <w:t xml:space="preserve">se asocia a mejoras en todas las dimensiones de la calidad de vida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LlAypIV2","properties":{"formattedCitation":"(24)","plainCitation":"(24)","noteIndex":0},"citationItems":[{"id":44401,"uris":["http://zotero.org/groups/2141613/items/ZPNTRSE9"],"uri":["http://zotero.org/groups/2141613/items/ZPNTRSE9"],"itemData":{"id":44401,"type":"article-journal","container-title":"Journal of Pain Research","DOI":"10.2147/JPR.S190158","ISSN":"1178-7090","journalAbbreviation":"JPR","language":"en","page":"1561-1567","source":"DOI.org (Crossref)","title":"Where should analgesia lead to? Quality of life and functional recovery with tapentadol","title-short":"Where should analgesia lead to?","volume":"Volume 12","author":[{"family":"Panella","given":"Lorenzo"},{"family":"Rinonapoli","given":"Giuseppe"},{"family":"Coaccioli","given":"Stefano"}],"issued":{"date-parts":[["2019",5]]}}}],"schema":"https://github.com/citation-style-language/schema/raw/master/csl-citation.json"}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(24)</w:t>
      </w:r>
      <w:r w:rsidR="00CB1C6B" w:rsidRPr="00367BEC">
        <w:rPr>
          <w:rFonts w:ascii="Times New Roman" w:hAnsi="Times New Roman" w:cs="Times New Roman"/>
        </w:rPr>
        <w:fldChar w:fldCharType="end"/>
      </w:r>
      <w:r w:rsidRPr="00367BEC">
        <w:rPr>
          <w:rFonts w:ascii="Times New Roman" w:hAnsi="Times New Roman"/>
        </w:rPr>
        <w:t xml:space="preserve">. Asimismo, las mejoras en la calidad de vida podrían asociarse a las observaciones actuales de mejora en la calidad del sueño, la actividad social, la independencia, la libido y la función, entre otros </w:t>
      </w:r>
      <w:r w:rsidR="00053E39"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f3pXpFc7","properties":{"formattedCitation":"(9,16,18\\uc0\\u8211{}20)","plainCitation":"(9,16,18–20)","noteIndex":0},"citationItems":[{"id":43035,"uris":["http://zotero.org/groups/2141613/items/A77Y9V6A"],"uri":["http://zotero.org/groups/2141613/items/A77Y9V6A"],"itemData":{"id":43035,"type":"article-journal","abstract":"Background: More than 50% of oncohematological patients suffer from pain syndrome, mostly originating from the bone, which often include nociceptive and neuropathic complaints. Tapentadol, a recently available treatment option for cancer pain, exerts a dual analgesic mechanisms (opioid and noradrenergic), allowing for a high clinical efficacy as well as for a reduction in adverse events compared to traditional opioids. Aim: To explore the safety and efficacy of tapentadol as a suitable agent for the pain management in the setting of oncohematology. Methods: Our observational study included 36 patients with basal pain intensity (NRS) ranging from 5 to 10. Tapentadol prolonged release (PR) was given at the initial dose of 50 mg BID and careful titrated according to the achieved pain control. Results. Tapentadol PR was given at the dosages ranging from 200 and 260 mg/day after a careful titration, allowed for a clinically (-7 points NRS) remarkable reduction of pain intensity without any significant side effects. Conclusion: In oncohematological patients on pain, tapentadol PR was effective and well tolerated, so representing a suitable treatment option in this difficult setting.","archive":"Embase Medline","container-title":"Cardiovascular and Hematological Agents in Medicinal Chemistry","ISSN":"1875-6182 1871-5257","issue":"1","language":"English","page":"68-74","title":"Tapentadol pr for pain syndromes in real life patients with hematological malignancy","title-short":"Tapentadol pr for pain syndromes in real life patients with hematological malignancy","volume":"14","author":[{"family":"Brunetti","given":"G. A."},{"family":"Palumbo","given":"G."},{"family":"Morano","given":"G. S."},{"family":"Baldacci","given":"E."},{"family":"Carmosino","given":"I."},{"family":"Annechini","given":"G."},{"family":"Talone","given":"R."},{"family":"Kiflom","given":"S."},{"family":"Mastrogiacomo","given":"G."},{"family":"Grammatico","given":"S."},{"family":"Chisini","given":"M."},{"family":"Costa","given":"A."},{"family":"Tendas","given":"A."},{"family":"Scaramucci","given":"L."},{"family":"Giovannini","given":"M."},{"family":"Niscola","given":"P."},{"family":"Petrucci","given":"M. T."},{"family":"Cartoni","given":"C."}],"issued":{"date-parts":[["2016"]]}},"label":"page"},{"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M."}],"issued":{"date-parts":[["2015",6]]}},"label":"page"},{"id":43044,"uris":["http://zotero.org/groups/2141613/items/2FJ98F27"],"uri":["http://zotero.org/groups/2141613/items/2FJ98F27"],"itemData":{"id":43044,"type":"article-journal","container-title":"Journal of Palliative Care &amp; Medicine","DOI":"10.4172/2165-7386.1000211","ISSN":"21657386","issue":"02","title":"Tapentadol Prolonged Release as Used in Clinical Practice in Patients with Severe Chronic Tumor Pain","title-short":"Tapentadol Prolonged Release as Used in Clinical Practice in Patients with Severe Chronic Tumor Pain","volume":"05","author":[{"family":"Schwenke","given":"K."},{"family":"A.","given":"Agbalaka"},{"family":"Litzenburger","given":"B."}],"issued":{"date-parts":[["2015"]]}},"label":"page"},{"id":43045,"uris":["http://zotero.org/groups/2141613/items/S743YMVX"],"uri":["http://zotero.org/groups/2141613/items/S743YMVX"],"itemData":{"id":43045,"type":"article-journal","abstract":"This noninterventional, prospective study investigated the administration of tapentadol prolonged release (PR; the dosage form described in this article is commercially available in Germany as Palexia retard; Grunenthal GmbH, Aachen) for severe chronic pain in routine clinical practice over a 3-month period. Effectiveness analyses included data from 3134 patients; 1331 received World Health Organization (WHO) Step III pretreatment. A total of 97.8% of patients received long-term analgesic pretreatment (42.5% with strong opioids). Switching to tapentadol PR produced a 3.9-point mean pain reduction (baseline, 7.0 +/- 1.5; end of observation, 3.1 +/- 1.8; 11-point numerical rating scale; descriptive P value &lt;/=.001); 72.1% of patients experienced clinically relevant pain relief (&gt;/=50%) at the end of observation. Significant decreases in pain-related impairment of daily activities and improvements in quality of life (descriptive P value &lt;/=.001) were observed with tapentadol PR with good tolerability. Tapentadol PR was effective for various pain indications in patients previously receiving strong opioids (67.2% achieved clinically relevant pain relief). Tapentadol PR can be considered an alternative therapy to classical opioids for treatment of severe chronic pain.","archive_location":"23957433","container-title":"J Pain Palliat Care Pharmacother","DOI":"10.3109/15360288.2013.816406","ISSN":"1536-0288","issue":"3","journalAbbreviation":"Journal of pain &amp; palliative care pharmacotherapy","language":"eng","page":"225-34","source":"NLM","title":"Tapentadol prolonged release for severe chronic pain: results of a noninterventional study involving general practitioners and internists","title-short":"Tapentadol prolonged release for severe chronic pain: results of a noninterventional study involving general practitioners and internists","volume":"27","author":[{"family":"Schwittay","given":"A."},{"family":"Schumann","given":"C."},{"family":"Litzenburger","given":"B. C."},{"family":"Schwenke","given":"K."}],"issued":{"date-parts":[["2013",8]]}},"label":"page"},{"id":43046,"uris":["http://zotero.org/groups/2141613/items/WNQK7HYP"],"uri":["http://zotero.org/groups/2141613/items/WNQK7HYP"],"itemData":{"id":43046,"type":"article-journal","abstract":"BACKGROUND AND OBJECTIVE: Clinical trials have documented the efficacy and good tolerability of tapentadol prolonged released (PR) for severe chronic pain. This study investigated routine long-term administration by pain specialists. METHODS: The effectiveness analysis included prospective data collected over a 3 month period (cohort I, n = 1457, mean age 61.2 +/- 13 years) and over a 12 month period (cohort II, n = 588, 60.1 +/- 13.2 years) regarding previous and concomitant analgesic treatment, tapentadol dosage, pain intensity, sleep and quality of life parameters, and tolerability. RESULTS: Most patients (&gt;77%) had suffered from severe chronic pain for &gt;/=2 years with low back pain the main pain diagnosis (82%); 91% had already received analgesic long-term treatment prior to initiation of tapentadol therapy (42% of those received strong opioids). After 3 month tapentadol treatment, cohort I had experienced a mean pain reduction of 2.4 points (from 6.8 +/- 1.6 at baseline) and improvements of 2.1 points in quality of sleep (from 5.8 +/- 2.5) and quality of life (from 6.5 +/- 2; all p &lt;/= 0.001). The 12 month tapentadol treatment (cohort II) reduced the mean pain intensity by 3.2 points from 6.7 +/- 1.6 at baseline (NRS-11; p &lt;/= 0.001); 57% of the patients experienced clinically relevant pain relief of &gt;/=50%. At end of observation, 92% attained either their intended pain reduction and/or an additional individual treatment target, both predefined at start of tapentadol therapy. This was accompanied by a significant reduction in pain-related impairments in daily activities and an improvement in quality of life (all p &lt;/= 0.001). Most frequent side-effects were nausea (6.3% of patients) and dizziness (3.8%) for cohort I, and nausea (1.5%) and constipation (1.2%) for cohort II. CONCLUSION: Tapentadol PR is effective and well tolerated and can be considered an alternative to classical strong opioids in long-term chronic pain therapy. LIMITATIONS: The study lacks a control group; assessment under routine practice conditions, however, reflects daily practice clinical management conditions.","archive_location":"24983745","container-title":"Curr Med Res Opin","DOI":"10.1185/03007995.2014.939166","ISSN":"0300-7995","issue":"10","journalAbbreviation":"Current medical research and opinion","language":"eng","page":"2085-92","source":"NLM","title":"Management of severe chronic pain with tapentadol prolonged release - long-term data from pain specialists","title-short":"Management of severe chronic pain with tapentadol prolonged release - long-term data from pain specialists","volume":"30","author":[{"family":"Strick","given":"V."}],"issued":{"date-parts":[["2014",10]]}},"label":"page"}],"schema":"https://github.com/citation-style-language/schema/raw/master/csl-citation.json"} </w:instrText>
      </w:r>
      <w:r w:rsidR="00053E39" w:rsidRPr="00367BEC">
        <w:rPr>
          <w:rFonts w:ascii="Times New Roman" w:hAnsi="Times New Roman" w:cs="Times New Roman"/>
        </w:rPr>
        <w:fldChar w:fldCharType="separate"/>
      </w:r>
      <w:r w:rsidR="00C56A05" w:rsidRPr="00367BEC">
        <w:rPr>
          <w:rFonts w:ascii="Times New Roman" w:hAnsi="Times New Roman" w:cs="Times New Roman"/>
        </w:rPr>
        <w:t>(9,16,18–20)</w:t>
      </w:r>
      <w:r w:rsidR="00053E39" w:rsidRPr="00367BEC">
        <w:rPr>
          <w:rFonts w:ascii="Times New Roman" w:hAnsi="Times New Roman" w:cs="Times New Roman"/>
        </w:rPr>
        <w:fldChar w:fldCharType="end"/>
      </w:r>
      <w:r w:rsidRPr="00367BEC">
        <w:rPr>
          <w:rFonts w:ascii="Times New Roman" w:hAnsi="Times New Roman"/>
        </w:rPr>
        <w:t xml:space="preserve">. Sin embargo, hay una falta de estudios sobre este tema relevante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lcqzusN4","properties":{"formattedCitation":"(24)","plainCitation":"(24)","noteIndex":0},"citationItems":[{"id":44401,"uris":["http://zotero.org/groups/2141613/items/ZPNTRSE9"],"uri":["http://zotero.org/groups/2141613/items/ZPNTRSE9"],"itemData":{"id":44401,"type":"article-journal","container-title":"Journal of Pain Research","DOI":"10.2147/JPR.S190158","ISSN":"1178-7090","journalAbbreviation":"JPR","language":"en","page":"1561-1567","source":"DOI.org (Crossref)","title":"Where should analgesia lead to? Quality of life and functional recovery with tapentadol","title-short":"Where should analgesia lead to?","volume":"Volume 12","author":[{"family":"Panella","given":"Lorenzo"},{"family":"Rinonapoli","given":"Giuseppe"},{"family":"Coaccioli","given":"Stefano"}],"issued":{"date-parts":[["2019",5]]}}}],"schema":"https://github.com/citation-style-language/schema/raw/master/csl-citation.json"}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(24)</w:t>
      </w:r>
      <w:r w:rsidR="00CB1C6B" w:rsidRPr="00367BEC">
        <w:rPr>
          <w:rFonts w:ascii="Times New Roman" w:hAnsi="Times New Roman" w:cs="Times New Roman"/>
        </w:rPr>
        <w:fldChar w:fldCharType="end"/>
      </w:r>
      <w:r w:rsidRPr="00367BEC">
        <w:rPr>
          <w:rFonts w:ascii="Times New Roman" w:hAnsi="Times New Roman"/>
        </w:rPr>
        <w:t xml:space="preserve">. Es interesante señalar que, en un estudio, se observó una tendencia en la mejora de la cronicidad del dolor respecto al inicio, con una proporción reducida de pacientes en la etapa de cronicidad elevada y una mayor proporción de pacientes en la etapa de cronicidad baja al final del periodo de observación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WtthpF27","properties":{"formattedCitation":"(16)","plainCitation":"(16)","noteIndex":0},"citationItems":[{"id":43042,"uris":["http://zotero.org/groups/2141613/items/EWTF82C9"],"uri":["http://zotero.org/groups/2141613/items/EWTF82C9"],"itemData":{"id":43042,"type":"article-journal","abstract":"INTRODUCTION: Despite opioids' recognized role in the treatment of moderate/severe musculoskeletal chronic pain, their long-term benefits need investigation. We explored the lasting analgesic efficacy, tolerability, influence on life quality, and chronicity stage of the novel prolonged release (PR) opioid, tapentadol, in 30 outpatients. METHODS: We evaluated patients' pain intensity and relief (Numerical Rating Scale; NRS), adverse effects, sleep quality, treatment satisfaction, health status (12-questions Health-Survey; SF-12), chronicity stage (Italian Mainz Pain-Staging System; I-MPSS) at 10, 30, 60, and 90 days after tapentadol prescription. RESULTS: At follow-ups, the investigated outcomes showed an overall statistically significant (Wilcoxon signed-rank test) improvement and remained stable over time, as did the health status and chronicity stage. Adverse effects were limited, transitory, and tolerable. CONCLUSIONS: Twelve weeks of PR tapentadol in outpatients with moderate/severe chronic musculoskeletal pain showed satisfactory analgesic efficacy and tolerability, and had a positive influence on life quality and chronicity stage. The results are robust enough to warrant a subsequent study with a larger sample and a longer observation period.","archive_location":"25558866","container-title":"Pain Ther","DOI":"10.1007/s40122-014-0030-6","ISSN":"2193-8237 (Print)","issue":"1","journalAbbreviation":"Pain and therapy","language":"eng","page":"107-17","source":"NLM","title":"Lasting Prolonged-Release Tapentadol for Moderate/Severe Non-Cancer Musculoskeletal Chronic Pain","title-short":"Lasting Prolonged-Release Tapentadol for Moderate/Severe Non-Cancer Musculoskeletal Chronic Pain","volume":"4","author":[{"family":"Samolsky Dekel","given":"B. G."},{"family":"Ghedini","given":"S."},{"family":"Gori","given":"A."},{"family":"Vasarri","given":"A."},{"family":"Di Nino","given":"G."},{"family":"Melotti","given":"R. M."}],"issued":{"date-parts":[["2015",6]]}}}],"schema":"https://github.com/citation-style-language/schema/raw/master/csl-citation.json"}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(16)</w:t>
      </w:r>
      <w:r w:rsidR="00CB1C6B" w:rsidRPr="00367BEC">
        <w:rPr>
          <w:rFonts w:ascii="Times New Roman" w:hAnsi="Times New Roman" w:cs="Times New Roman"/>
        </w:rPr>
        <w:fldChar w:fldCharType="end"/>
      </w:r>
      <w:r w:rsidRPr="00367BEC">
        <w:rPr>
          <w:rFonts w:ascii="Times New Roman" w:hAnsi="Times New Roman"/>
        </w:rPr>
        <w:t xml:space="preserve">. Esto sería de gran relevancia, ya que reduciría indirectamente los costes sanitarios. Desafortunadamente, no conocemos ningún otro estudio en el que se evalúe la cronicidad del dolor como criterio de valoración. Las limitadas publicaciones científicas sobre los efectos del tapentadol en la calidad de vida y otros parámetros relevantes, además de la analgesia y la tolerabilidad, hacen que sea necesario llevar a cabo estudios centrados en la función y la calidad de vida de los pacientes como epicentro de las estrategias de control del dolor.  </w:t>
      </w:r>
    </w:p>
    <w:p w14:paraId="32807216" w14:textId="7841EB22" w:rsidR="0040518C" w:rsidRPr="00367BEC" w:rsidRDefault="00C163C9" w:rsidP="00CF1C1E">
      <w:pPr>
        <w:spacing w:after="0" w:line="480" w:lineRule="auto"/>
        <w:jc w:val="both"/>
        <w:rPr>
          <w:rFonts w:ascii="Times New Roman" w:hAnsi="Times New Roman" w:cs="Times New Roman"/>
        </w:rPr>
      </w:pPr>
      <w:r w:rsidRPr="00367BEC">
        <w:rPr>
          <w:rFonts w:ascii="Times New Roman" w:hAnsi="Times New Roman"/>
        </w:rPr>
        <w:t xml:space="preserve">A la hora de interpretar los resultados de la presente revisión sistemática hay que tener en cuenta varias limitaciones. Para determinar la </w:t>
      </w:r>
      <w:r w:rsidR="009E4001">
        <w:rPr>
          <w:rFonts w:ascii="Times New Roman" w:hAnsi="Times New Roman"/>
        </w:rPr>
        <w:t>efectividad</w:t>
      </w:r>
      <w:r w:rsidR="009E4001" w:rsidRPr="00367BEC">
        <w:rPr>
          <w:rFonts w:ascii="Times New Roman" w:hAnsi="Times New Roman"/>
        </w:rPr>
        <w:t xml:space="preserve"> </w:t>
      </w:r>
      <w:r w:rsidRPr="00367BEC">
        <w:rPr>
          <w:rFonts w:ascii="Times New Roman" w:hAnsi="Times New Roman"/>
        </w:rPr>
        <w:t xml:space="preserve">y la tolerabilidad del tapentadol en el control del dolor en un contexto clínico real, en esta revisión sistemática solo pudieron incluirse estudios con un diseño observacional. Por ello, la fuerza probatoria para responder a la pregunta «¿Esta intervención es de utilidad?» con un estudio de cohortes observacional, no aleatorizado y controlado debe ser de 3; donde 1 es el nivel más alto de fuerza probatoria y 5 el nivel más bajo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KI98wMKC","properties":{"formattedCitation":"(25)","plainCitation":"(25)","noteIndex":0},"citationItems":[{"id":44021,"uris":["http://zotero.org/groups/2141613/items/MYXMH3UX"],"uri":["http://zotero.org/groups/2141613/items/MYXMH3UX"],"itemData":{"id":44021,"type":"webpage","title":"OCEBM Levels of Evidence","URL":"https://www.cebm.net/2016/05/ocebm-levels-of-evidence/","accessed":{"date-parts":[["2019",7,23]]},"issued":{"date-parts":[["2016",5,1]]}}}],"schema":"https://github.com/citation-style-language/schema/raw/master/csl-citation.json"}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(25)</w:t>
      </w:r>
      <w:r w:rsidR="00CB1C6B" w:rsidRPr="00367BEC">
        <w:rPr>
          <w:rFonts w:ascii="Times New Roman" w:hAnsi="Times New Roman" w:cs="Times New Roman"/>
        </w:rPr>
        <w:fldChar w:fldCharType="end"/>
      </w:r>
      <w:r w:rsidRPr="00367BEC">
        <w:rPr>
          <w:rFonts w:ascii="Times New Roman" w:hAnsi="Times New Roman"/>
        </w:rPr>
        <w:t xml:space="preserve">. Además, la mayoría de los estudios recibieron una mala calificación de la calidad a causa de su incapacidad de controlar las amenazas a la validez interna. Por consiguiente, </w:t>
      </w:r>
      <w:bookmarkStart w:id="7" w:name="_Hlk15990345"/>
      <w:r w:rsidRPr="00367BEC">
        <w:rPr>
          <w:rFonts w:ascii="Times New Roman" w:hAnsi="Times New Roman"/>
        </w:rPr>
        <w:t>los resultados de esta revisión sistemática deben valorarse con precaución, y solo deben considerarse en combinación con los resultados de ensayos clínicos controlados</w:t>
      </w:r>
      <w:bookmarkEnd w:id="7"/>
      <w:r w:rsidRPr="00367BEC">
        <w:rPr>
          <w:rFonts w:ascii="Times New Roman" w:hAnsi="Times New Roman"/>
        </w:rPr>
        <w:t xml:space="preserve">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Co01Po5p","properties":{"formattedCitation":"(4)","plainCitation":"(4)","noteIndex":0},"citationItems":[{"id":43030,"uris":["http://zotero.org/groups/2141613/items/IC3IMCFF"],"uri":["http://zotero.org/groups/2141613/items/IC3IMCFF"],"itemData":{"id":43030,"type":"article-journal","archive_location":"27959688","container-title":"N Engl J Med","DOI":"10.1056/NEJMsb1609216","ISSN":"0028-4793","issue":"23","journalAbbreviation":"The New England journal of medicine","language":"eng","page":"2293-2297","source":"Nlm","title":"Real-World Evidence - What Is It and What Can It Tell Us?","title-short":"Real-World Evidence - What Is It and What Can It Tell Us?","volume":"375","author":[{"family":"Sherman","given":"R. E."},{"family":"Anderson","given":"S. A."},{"family":"Dal Pan","given":"G. J."},{"family":"Gray","given":"G. W."},{"family":"Gross","given":"T."},{"family":"Hunter","given":"N. L."},{"family":"LaVange","given":"L."},{"family":"Marinac-Dabic","given":"D."},{"family":"Marks","given":"P. W."},{"family":"Robb","given":"M. A."},{"family":"Shuren","given":"J."},{"family":"Temple","given":"R."},{"family":"Woodcock","given":"J."},{"family":"Yue","given":"L. Q."},{"family":"Califf","given":"R. M."}],"issued":{"date-parts":[["2016",12,8]]}}}],"schema":"https://github.com/citation-style-language/schema/raw/master/csl-citation.json"}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(4)</w:t>
      </w:r>
      <w:r w:rsidR="00CB1C6B" w:rsidRPr="00367BEC">
        <w:rPr>
          <w:rFonts w:ascii="Times New Roman" w:hAnsi="Times New Roman" w:cs="Times New Roman"/>
        </w:rPr>
        <w:fldChar w:fldCharType="end"/>
      </w:r>
      <w:r w:rsidRPr="00367BEC">
        <w:rPr>
          <w:rFonts w:ascii="Times New Roman" w:hAnsi="Times New Roman"/>
        </w:rPr>
        <w:t xml:space="preserve">. Asimismo, los resultados no fueron uniformes entre los estudios, dada la gran variabilidad de las características de los estudios, </w:t>
      </w:r>
      <w:r w:rsidRPr="00367BEC">
        <w:rPr>
          <w:rFonts w:ascii="Times New Roman" w:hAnsi="Times New Roman"/>
        </w:rPr>
        <w:lastRenderedPageBreak/>
        <w:t>las herramientas de evaluación y la heterogeneidad de las muestras. En cuanto a las limitaciones del proceso de revisión, la estrategia de búsqueda se restringió a estudios publicados en inglés o español, con una descripción clara de la dosis de tapentadol utilizada para la intervención y su efecto analgésico, con lo que cabe la posibilidad de que se omitieran publicaciones relevantes.</w:t>
      </w:r>
    </w:p>
    <w:p w14:paraId="344A2FFE" w14:textId="227E6BCA" w:rsidR="00AA4F4C" w:rsidRPr="00367BEC" w:rsidRDefault="00A81588" w:rsidP="00CF1C1E">
      <w:pPr>
        <w:spacing w:after="0" w:line="480" w:lineRule="auto"/>
        <w:jc w:val="both"/>
        <w:rPr>
          <w:rFonts w:ascii="Times New Roman" w:hAnsi="Times New Roman" w:cs="Times New Roman"/>
        </w:rPr>
      </w:pPr>
      <w:r w:rsidRPr="00367BEC">
        <w:rPr>
          <w:rFonts w:ascii="Times New Roman" w:hAnsi="Times New Roman"/>
        </w:rPr>
        <w:t xml:space="preserve">La presente revisión sistemática abarca y se basa en una revisión previa de la literatura científica que incluyó cuatro estudios observacionales de Alemania en los que se confirman los beneficios del tapentadol para el control del dolor crónico en la práctica clínica habitual, y que cubren los primeros 5 años de comercialización de este medicamento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20THqB9X","properties":{"formattedCitation":"(1)","plainCitation":"(1)","noteIndex":0},"citationItems":[{"id":44372,"uris":["http://zotero.org/groups/2141613/items/SF5RI3PV"],"uri":["http://zotero.org/groups/2141613/items/SF5RI3PV"],"itemData":{"id":44372,"type":"article-journal","abstract":"Tapentadol prolonged release (PR) for the treatment of moderate to severe chronic pain combines 2 modes of action. These are mu-opioid receptor agonism and noradrenaline reuptake inhibition in a single molecule that allow higher analgesic potency through modulation of different pharmacological targets within the pain transmitting systems. At the same time, this can also serve as a clue for modulation of different pain-generating mechanisms according to nociceptive, neuropathic, or mixed pain conditions. Tapentadol PR has now been on the market for 5 years, with over 4.6 million people treated worldwide. A panel of pain specialists convened in Germany to review the clinical program and to discuss the role of tapentadol PR in the management of chronic pain. The clinical study program demonstrated effective and generally well-tolerated treatment for up to 2 years in a broad range of chronic pain conditions, including those with neuropathic pain components. This was confirmed in routine clinical practice observations. Head-to-head studies with World Health Organization (WHO) III opioids such as oxycodone controlled release and oxycodone/naloxone PR showed at least comparable pain relief in the treatment of moderate-to-severe musculoskeletal pain. Rotation from poorly tolerated WHO III opioids to tapentadol PR provided effective pain relief and better symptom control for musculoskeletal pain compared to previous medication. Functionality, health status and quality of life also improved under tapentadol PR treatment. The gastrointestinal tolerability profile was more favorable compared to other tested WHO III opioids. Tapentadol PR has a good safety profile and no evidence of acquired tolerance from the long-term data so far collected. Overall, tapentadol PR represents an effective and generally well-tolerated alternative to \"classical\" opioidergic drugs.","archive_location":"27611642","container-title":"Pain Pract","DOI":"10.1111/papr.12515","ISSN":"1530-7085","issue":"5","journalAbbreviation":"Pain practice : the official journal of World Institute of Pain","language":"eng","page":"678-700","source":"Nlm","title":"Tapentadol Prolonged Release for Chronic Pain: A Review of Clinical Trials and 5 Years of Routine Clinical Practice Data","title-short":"Tapentadol Prolonged Release for Chronic Pain: A Review of Clinical Trials and 5 Years of Routine Clinical Practice Data","volume":"17","author":[{"family":"Baron","given":"Ralf"},{"family":"Eberhart","given":"L."},{"family":"Kern","given":"K. U."},{"family":"Regner","given":"S."},{"family":"Rolke","given":"R."},{"family":"Simanski","given":"C."},{"family":"Tolle","given":"T."}],"issued":{"date-parts":[["2016",6]]}}}],"schema":"https://github.com/citation-style-language/schema/raw/master/csl-citation.json"}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w:t>
      </w:r>
      <w:r w:rsidR="00CB1C6B" w:rsidRPr="00367BEC">
        <w:rPr>
          <w:rFonts w:ascii="Times New Roman" w:hAnsi="Times New Roman" w:cs="Times New Roman"/>
        </w:rPr>
        <w:fldChar w:fldCharType="end"/>
      </w:r>
      <w:r w:rsidRPr="00367BEC">
        <w:rPr>
          <w:rFonts w:ascii="Times New Roman" w:hAnsi="Times New Roman"/>
        </w:rPr>
        <w:t xml:space="preserve">. En general, el resumen de los hallazgos en la práctica clínica habitual describe el uso de dosis de tapentadol por debajo de 300 mg/día para el control del dolor en diversas afecciones dolorosas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YINpmXOb","properties":{"formattedCitation":"(1,3)","plainCitation":"(1,3)","noteIndex":0},"citationItems":[{"id":43032,"uris":["http://zotero.org/groups/2141613/items/G3TLPKV5"],"uri":["http://zotero.org/groups/2141613/items/G3TLPKV5"],"itemData":{"id":43032,"type":"article-journal","abstract":"INTRODUCTION: Tapentadol is a centrally acting analgesic that has been available for the management of acute and chronic pain in routine clinical practice since 2009. METHODS: This is the first integrated descriptive analysis of post-marketing safety data following the use of tapentadol in a broad range of pain conditions relating to the topics overall safety, dose administration above approved dosages, administration during pregnancy, serotonin syndrome, respiratory depression, and convulsion. The data analyzed pertain to spontaneous reports from healthcare and non-healthcare professionals and were put in the context of safety information known from interventional and non-interventional trials. RESULTS: The first years of routine clinical practice experience with tapentadol have confirmed the tolerability profile that emerged from the clinical trials. Moreover, the reporting of expected side effects such as respiratory depression and convulsion was low and no major risks were identified. The evaluation of available post-marketing data did not confirm the theoretical risk of serotonin syndrome nor did it reveal unexpected side effects with administration of higher than recommended doses. CONCLUSION: More than 8 years after its first introduction, the favorable overall safety profile of tapentadol in the treatment of various pain conditions is maintained in the general population. FUNDING: Grunenthal GmbH.","archive_location":"29270779","container-title":"Adv Ther","DOI":"10.1007/s12325-017-0654-0","ISSN":"0741-238x","issue":"1","journalAbbreviation":"Advances in therapy","language":"eng","page":"12-30","source":"Nlm","title":"Review of Post-Marketing Safety Data on Tapentadol, a Centrally Acting Analgesic","title-short":"Review of Post-Marketing Safety Data on Tapentadol, a Centrally Acting Analgesic","volume":"35","author":[{"family":"Stollenwerk","given":"A."},{"family":"Sohns","given":"M."},{"family":"Heisig","given":"F."},{"family":"Elling","given":"C."},{"family":"Zabern","given":"D.","non-dropping-particle":"von"}],"issued":{"date-parts":[["2017",1]]}},"label":"page"},{"id":44372,"uris":["http://zotero.org/groups/2141613/items/SF5RI3PV"],"uri":["http://zotero.org/groups/2141613/items/SF5RI3PV"],"itemData":{"id":44372,"type":"article-journal","abstract":"Tapentadol prolonged release (PR) for the treatment of moderate to severe chronic pain combines 2 modes of action. These are mu-opioid receptor agonism and noradrenaline reuptake inhibition in a single molecule that allow higher analgesic potency through modulation of different pharmacological targets within the pain transmitting systems. At the same time, this can also serve as a clue for modulation of different pain-generating mechanisms according to nociceptive, neuropathic, or mixed pain conditions. Tapentadol PR has now been on the market for 5 years, with over 4.6 million people treated worldwide. A panel of pain specialists convened in Germany to review the clinical program and to discuss the role of tapentadol PR in the management of chronic pain. The clinical study program demonstrated effective and generally well-tolerated treatment for up to 2 years in a broad range of chronic pain conditions, including those with neuropathic pain components. This was confirmed in routine clinical practice observations. Head-to-head studies with World Health Organization (WHO) III opioids such as oxycodone controlled release and oxycodone/naloxone PR showed at least comparable pain relief in the treatment of moderate-to-severe musculoskeletal pain. Rotation from poorly tolerated WHO III opioids to tapentadol PR provided effective pain relief and better symptom control for musculoskeletal pain compared to previous medication. Functionality, health status and quality of life also improved under tapentadol PR treatment. The gastrointestinal tolerability profile was more favorable compared to other tested WHO III opioids. Tapentadol PR has a good safety profile and no evidence of acquired tolerance from the long-term data so far collected. Overall, tapentadol PR represents an effective and generally well-tolerated alternative to \"classical\" opioidergic drugs.","archive_location":"27611642","container-title":"Pain Pract","DOI":"10.1111/papr.12515","ISSN":"1530-7085","issue":"5","journalAbbreviation":"Pain practice : the official journal of World Institute of Pain","language":"eng","page":"678-700","source":"Nlm","title":"Tapentadol Prolonged Release for Chronic Pain: A Review of Clinical Trials and 5 Years of Routine Clinical Practice Data","title-short":"Tapentadol Prolonged Release for Chronic Pain: A Review of Clinical Trials and 5 Years of Routine Clinical Practice Data","volume":"17","author":[{"family":"Baron","given":"Ralf"},{"family":"Eberhart","given":"L."},{"family":"Kern","given":"K. U."},{"family":"Regner","given":"S."},{"family":"Rolke","given":"R."},{"family":"Simanski","given":"C."},{"family":"Tolle","given":"T."}],"issued":{"date-parts":[["2016",6]]}},"label":"page"}],"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(1,3)</w:t>
      </w:r>
      <w:r w:rsidR="00CB1C6B" w:rsidRPr="00367BEC">
        <w:rPr>
          <w:rFonts w:ascii="Times New Roman" w:hAnsi="Times New Roman" w:cs="Times New Roman"/>
        </w:rPr>
        <w:fldChar w:fldCharType="end"/>
      </w:r>
      <w:r w:rsidRPr="00367BEC">
        <w:rPr>
          <w:rFonts w:ascii="Times New Roman" w:hAnsi="Times New Roman"/>
        </w:rPr>
        <w:t xml:space="preserve">. Estas dosis se encuentran entre los valores más bajos del intervalo de prescripción en ensayos clínicos controlados (100-250 mg dos veces al día)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H2B3VGcS","properties":{"unsorted":true,"formattedCitation":"(26\\uc0\\u8211{}30)","plainCitation":"(26–30)","noteIndex":0},"citationItems":[{"id":58332,"uris":["http://zotero.org/groups/2141613/items/MPIVC3YU"],"uri":["http://zotero.org/groups/2141613/items/MPIVC3YU"],"itemData":{"id":58332,"type":"article-journal","abstract":"Objective To evaluate the effectiveness of tapentadol prolonged release (PR) vs. oxycodone/naloxone PR in non–opioid-pretreated patients with severe chronic low back pain with a neuropathic pain component. Methods Eligible patients (average pain intensity [numerical rating scale-3 (NRS-3)] ≥6; painDETECT positive/unclear) were randomized to twice-daily tapentadol PR 50 mg or oxycodone/naloxone PR 10 mg/5 mg. After a 21-day titration (maximum twice-daily doses: tapentadol PR 250 mg, or oxycodone/naloxone PR 40 mg/20 mg plus oxycodone PR 10 mg), target doses were continued for 9 weeks. The primary effectiveness endpoint was the change in NRS-3 from baseline to final evaluation; the exact repeated confidence interval (RCI) for tapentadol PR minus oxycodone/naloxone PR was used to establish noninferiority (upper limit &lt;1.3) and superiority (confirmatory analyses). Results For the primary effectiveness endpoint, tapentadol PR was noninferior to oxycodone/naloxone PR (97.5% RCI: [−1.820, −0.184]; P &lt; 0.001). This exact RCI also yielded evidence of superiority for tapentadol PR vs. oxycodone/naloxone PR (significantly greater reduction in pain intensity; P = 0.003). Improvements (baseline to final evaluation) in painDETECT and Neuropathic Pain Symptom Inventory scores were significantly greater with tapentadol PR vs. oxycodone/naloxone PR (all P ≤ 0.005). Conclusions The study was formally shown to be positive and demonstrated, in the primary effectiveness endpoint, the noninferiority for tapentadol PR vs. oxycodone/naloxone PR. The effectiveness of tapentadol PR was superior to that of oxycodone/naloxone PR by means of clinical relevance and statistical significance (confirmatory evidence of superiority). Tapentadol PR was associated with significantly greater improvements in neuropathic pain-related symptoms and global health status than oxycodone/naloxone PR and with a significantly better gastrointestinal tolerability profile. Tapentadol PR may be considered a first-line option for managing severe chronic low back pain with a neuropathic pain component.","container-title":"Pain Practice","DOI":"10.1111/papr.12308","ISSN":"1533-2500","issue":"5","language":"en","note":"_eprint: https://onlinelibrary.wiley.com/doi/pdf/10.1111/papr.12308","page":"580-599","source":"Wiley Online Library","title":"Effectiveness of Tapentadol Prolonged Release (PR) Compared with Oxycodone/Naloxone PR for the Management of Severe Chronic Low Back Pain with a Neuropathic Component: A Randomized, Controlled, Open-Label, Phase 3b/4 Study","title-short":"Effectiveness of Tapentadol Prolonged Release (PR) Compared with Oxycodone/Naloxone PR for the Management of Severe Chronic Low Back Pain with a Neuropathic Component","volume":"16","author":[{"family":"Baron","given":"Ralf"},{"family":"Likar","given":"Rudolf"},{"family":"Martin‐Mola","given":"Emilio"},{"family":"Blanco","given":"Francisco J."},{"family":"Kennes","given":"Lieven"},{"family":"Müller","given":"Matthias"},{"family":"Falke","given":"Dietmar"},{"family":"Steigerwald","given":"Ilona"}],"issued":{"date-parts":[["2016"]]}},"label":"page"},{"id":58323,"uris":["http://zotero.org/groups/2141613/items/8ZUQ5EUA"],"uri":["http://zotero.org/groups/2141613/items/8ZUQ5EUA"],"itemData":{"id":58323,"type":"article-journal","abstract":"Objective: To evaluate the efficacy and safety of tapentadol extended release (ER) for the management of moderate to severe chronic low back pain.Research design: Patients (N = 981) were randomized 1:1:1 to receive tapentadol ER 100 – 250 mg b.i.d., oxycodone HCl controlled release (CR) 20 – 50 mg b.i.d., or placebo over 15 weeks (3-week titration period, 12-week maintenance period).Main outcome measures: Efficacy was assessed as change from baseline in average pain intensity (11-point NRS) at week 12 of the maintenance period and throughout the maintenance period; last observation carried forward was used to impute missing pain scores. Adverse events (AEs) were monitored throughout the study.Results: Tapentadol ER significantly reduced average pain intensity versus placebo at week 12 (least squares mean difference vs placebo [95% confidence interval], −0.8 [−1.22, −0.47]; p &lt; 0.001) and throughout the maintenance period (−0.7 [−1.06,−0.35]; p &lt; 0.001). Oxycodone CR significantly reduced average pain intensity versus placebo at week 12 (−0.9 [−1.24,−0.49]; p &lt; 0.001) and throughout the maintenance period (−0.8 [−1.16,−0.46]; p &lt; 0.001). Tapentadol ER was associated with a lower incidence of treatment-emergent AEs (TEAEs) than oxycodone CR. Gastrointestinal TEAEs, including constipation, nausea, and vomiting, were among the most commonly reported TEAEs (placebo, 26.3%; tapentadol ER, 43.7%; oxycodone CR, 61.9%). The odds of experiencing constipation or the composite of nausea and/or vomiting were significantly lower with tapentadol ER than with oxycodone CR (both p &lt; 0.001).Conclusions: Tapentadol ER (100 – 250 mg b.i.d.) effectively relieved moderate to severe chronic low back pain over 15 weeks and had better gastrointestinal tolerability than oxycodone HCl CR (20 – 50 mg b.i.d.).","container-title":"Expert Opinion on Pharmacotherapy","DOI":"10.1517/14656566.2010.497720","ISSN":"1465-6566","issue":"11","note":"publisher: Taylor &amp; Francis\n_eprint: https://doi.org/10.1517/14656566.2010.497720\nPMID: 20578811","page":"1787-1804","source":"Taylor and Francis+NEJM","title":"Efficacy and safety of tapentadol extended release for the management of chronic low back pain: results of a prospective, randomized, double-blind, placebo- and active-controlled Phase III study","title-short":"Efficacy and safety of tapentadol extended release for the management of chronic low back pain","volume":"11","author":[{"family":"Buynak","given":"Robert"},{"family":"Shapiro","given":"Douglas Y."},{"family":"Okamoto","given":"Akiko"},{"family":"Hove","given":"Ilse Van"},{"family":"Rauschkolb","given":"Christine"},{"family":"Steup","given":"Achim"},{"family":"Lange","given":"Bernd"},{"family":"Lange","given":"Claudia"},{"family":"Etropolski","given":"Mila"}],"issued":{"date-parts":[["2010",8,1]]}},"label":"page"},{"id":58327,"uris":["http://zotero.org/groups/2141613/items/6EG53WUM"],"uri":["http://zotero.org/groups/2141613/items/6EG53WUM"],"itemData":{"id":58327,"type":"article-journal","abstract":"Background: Tapentadol is a novel, centrally acting analgesic with 2 mechanisms of action: µ-opioid receptor agonism and norepinephrine reuptake inhibition. This randomized, open-label phase 3 study (ClinicalTrials.gov Identifier: NCT00361504) assessed the long-term safety and tolerability of tapentadol extended release (ER) in patients with chronic knee or hip osteoarthritis pain or low back pain. Methods: Patients were randomized 4:1 to receive controlled, adjustable, oral, twice-daily doses of tapentadol ER (100 to 250 mg) or oxycodone HCl controlled release (CR; 20 to 50 mg) for up to 1 year. Efficacy evaluations included assessments at each study visit of average pain intensity (11-point numerical rating scale) over the preceding 24 hours. Treatment-emergent adverse events (TEAEs) and discontinuations were monitored throughout the study. Results: A total of 1,117 patients received at least 1 dose of study drug. Mean (standard error) pain intensity scores in the tapentadol ER and oxycodone CR groups, respectively, were 7.6 (0.05) and 7.6 (0.11) at baseline and decreased to 4.4 (0.09) and 4.5 (0.17) at endpoint. The overall incidence of TEAEs was 85.7% in the tapentadol ER group and 90.6% in the oxycodone CR group. In the tapentadol ER and oxycodone CR groups, respectively, TEAEs led to discontinuation in 22.1% and 36.8% of patients; gastrointestinal TEAEs led to discontinuation in 8.6% and 21.5% of patients. Conclusion: Tapentadol ER (100 to 250 mg bid) was associated with better gastrointestinal tolerability than oxycodone HCl CR (20 to 50 mg bid) and provided sustainable relief of moderate to severe chronic knee or hip osteoarthritis or low back pain for up to 1 year.","container-title":"Pain Practice","DOI":"10.1111/j.1533-2500.2010.00397.x","ISSN":"1533-2500","issue":"5","language":"en","note":"_eprint: https://onlinelibrary.wiley.com/doi/pdf/10.1111/j.1533-2500.2010.00397.x","page":"416-427","source":"Wiley Online Library","title":"Long-term Safety and Tolerability of Tapentadol Extended Release for the Management of Chronic Low Back Pain or Osteoarthritis Pain","volume":"10","author":[{"family":"Wild","given":"James E."},{"family":"Grond","given":"Stefan"},{"family":"Kuperwasser","given":"Brigitte"},{"family":"Gilbert","given":"Jane"},{"family":"McCann","given":"Bettyanne"},{"family":"Lange","given":"Bernd"},{"family":"Steup","given":"Achim"},{"family":"Häufel","given":"Thomas"},{"family":"Etropolski","given":"Mila S."},{"family":"Rauschkolb","given":"Christine"},{"family":"Lange","given":"Robert"}],"issued":{"date-parts":[["2010"]]}},"label":"page"},{"id":58329,"uris":["http://zotero.org/groups/2141613/items/C37URNLB"],"uri":["http://zotero.org/groups/2141613/items/C37URNLB"],"itemData":{"id":58329,"type":"article-journal","abstract":"Objectives:The aim of this prospective, open-label study was to evaluate the efficacy and tolerability of tapentadol (TP) in the management of cancer pain.Methods:A 4 weeks’ prospective study was carried out in 50 opioid-naive cancer patients with moderate–severe pain. Each patient initially received twice-daily doses of slow-release TP 50 mg. Doses were then managed to maintain adequate relief or dose-limiting toxicity, on the basis of the clinical response. The following parameters were recorded at weekly intervals for 4 weeks: pain and opioid-related adverse effects, quality of life measured with the Spitzer score, TP escalation index percent (TPEI%) and TP escalation index in mg (TPEImg), calculated at the end of the study, pain mechanisms, and PainDETECT at baseline.Results:Of 50 patients, 39 completed the entire study and 11 discontinued the treatment for different reasons. Pain intensity significantly decreased from baseline to all the week intervals (p &lt; 0.0005), and adverse effects did not changed significantly, while quality of life improved. TP escalation indexes were low and no relationship was found with age, gender, and pain mechanisms.Conclusion:Tapentalol started in doses of 100 mg/day was well-tolerated and effective in opioid-naive patients with cancer pain, regardless of the pain mechanism. It can be considered as a flexible drug to be used in patients with moderate–severe pain.Limitations:This was an open-label study for exploratory purposes. Data should be confirmed in controlled studies with a larger number of patients.","container-title":"Current Medical Research and Opinion","DOI":"10.1185/03007995.2012.739151","ISSN":"0300-7995","issue":"11","note":"publisher: Taylor &amp; Francis\n_eprint: https://doi.org/10.1185/03007995.2012.739151\nPMID: 23057488","page":"1775-1779","source":"Taylor and Francis+NEJM","title":"Tapentadol in cancer pain management: a prospective open-label study","title-short":"Tapentadol in cancer pain management","volume":"28","author":[{"family":"Mercadante","given":"Sebastiano"},{"family":"Porzio","given":"Giampiero"},{"family":"Ferrera","given":"Patrizia"},{"family":"Aielli","given":"Federica"},{"family":"Adile","given":"Claudio"},{"family":"Ficorella","given":"Corrado"},{"family":"Giarratano","given":"Antonello"},{"family":"Casuccio","given":"Alessandra"}],"issued":{"date-parts":[["2012",11,1]]}},"label":"page"},{"id":58335,"uris":["http://zotero.org/groups/2141613/items/49RTD2EK"],"uri":["http://zotero.org/groups/2141613/items/49RTD2EK"],"itemData":{"id":58335,"type":"article-journal","abstract":"BACKGROUND: Tapentadol prolonged release (PR) is effective and well tolerated for chronic osteoarthritis, low back, and diabetic peripheral neuropathic pain.\nOBJECTIVES: To evaluate the efficacy and tolerability of tapentadol PR compared with placebo and morphine controlled release (CR) for managing moderate to severe chronic malignant tumor-related pain.\nSTUDY DESIGN: Randomized-withdrawal, parallel group, active- and placebo-controlled, double-blind phase 3 study (NCT00472303).\nSETTING: Primary, secondary, and tertiary care settings in 16 countries.\nMETHODS: Eligible patients (pain intensity ≥ 5 [11-point numerical rating scale] on prior analgesics) were randomized (2:1) and titrated to their optimal dose of tapentadol PR (100-250 mg bid) or morphine sulfate CR (40-100 mg bid) over 2 weeks. Morphine sulfate immediate release 10 mg was permitted as needed for rescue medication (no maximum dose). Patients who completed titration and, during the last 3 days of titration, had mean pain intensity &lt; 5 (based on twice-daily ratings) and mean rescue medication use = 20 mg/day continued into a 4-week maintenance period; patients who received morphine CR during titration continued taking morphine CR, and those who received tapentadol PR were re-randomized (1:1) to tapentadol PR or placebo bid. Response during maintenance (primary efficacy endpoint) was defined as having: (1) completed the maintenance period, (2) a mean pain intensity &lt; 5 during maintenance, and (3) used an average of = 20 mg/day of rescue medication during maintenance. Response at the end of titration was defined similarly, with pain intensity and rescue medication averages based on the last 3 days of titration.\nRESULTS: Of 622 patients screened, 496 were randomized, treated during titration, and evaluable for safety; 327 were re-randomized, treated during maintenance, and evaluable for safety; and 325 were evaluable for efficacy. The adjusted responder rate estimate during maintenance (logistic regression adjusting for treatment group, pooled center, and pain intensity at start of maintenance) was significantly higher with tapentadol PR (64.3%) than with placebo (47.1%; odds ratio (OR), 2.02 [95% confidence interval (CI), 1.12 - 3.65]; P = 0.02). Based on responder rates at the end of titration, tapentadol PR (76.0% [174/229]) was non-inferior to morphine CR (83.0% [83/100]). The lower limit of the 95% CI for the between-groups difference (-15.5%) was within the pre-specified 20% non-inferiority margin. During titration, incidences of treatment-emergent adverse events (TEAEs) were 50.0% (169/338) with tapentadol PR and 63.9% (101/158) with morphine CR; incidences of nausea, vomiting, and dry mouth were lower with tapentadol PR than with morphine CR. During maintenance, incidences of TEAEs were 56.3% (63/112), 62.3% (66/106), and 62.4% (68/109) with placebo, tapentadol PR, and morphine CR, respectively.\nLIMITATIONS: Statistical comparisons between tapentadol PR and morphine CR were limited to descriptive statistics during the maintenance period because of the pre-selection of responders to tapentadol PR or morphine CR during titration.\nCONCLUSIONS: Results obtained during maintenance indicate that tapentadol PR (100-250 mg bid) is effective compared with placebo for managing moderate to severe chronic malignant tumor-related pain. Based on results obtained during titration, tapentadol PR provides comparable efficacy to that of morphine sulfate CR (40-100 mg bid), but is associated with better gastrointestinal tolerability.","container-title":"Pain Physician","ISSN":"2150-1149","issue":"4","journalAbbreviation":"Pain Physician","language":"eng","note":"PMID: 25054392","page":"329-343","source":"PubMed","title":"Tapentadol prolonged release for managing moderate to severe, chronic malignant tumor-related pain","volume":"17","author":[{"family":"Kress","given":"Hans G."},{"family":"Koch","given":"E. Dietlind"},{"family":"Kosturski","given":"Hristiyan"},{"family":"Steup","given":"Achim"},{"family":"Karcher","given":"Keith"},{"family":"Lange","given":"Bernd"},{"family":"Dogan","given":"Can"},{"family":"Etropolski","given":"Mila S."},{"family":"Eerdekens","given":"Marëille"}],"issued":{"date-parts":[["2014",8]]}},"label":"page"}],"schema":"https://github.com/citation-style-language/schema/raw/master/csl-citation.json"}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(26–30)</w:t>
      </w:r>
      <w:r w:rsidR="00CB1C6B" w:rsidRPr="00367BEC">
        <w:rPr>
          <w:rFonts w:ascii="Times New Roman" w:hAnsi="Times New Roman" w:cs="Times New Roman"/>
        </w:rPr>
        <w:fldChar w:fldCharType="end"/>
      </w:r>
      <w:r w:rsidRPr="00367BEC">
        <w:rPr>
          <w:rFonts w:ascii="Times New Roman" w:hAnsi="Times New Roman"/>
        </w:rPr>
        <w:t xml:space="preserve">. La amplia varianza en los niveles de dosis puede tener relación con la adaptación a los diferentes perfiles de paciente y a las necesidades de ajuste de la dosis para obtener un tratamiento personalizado. No obstante, los resultados deben considerarse con precaución, a tenor de la mala calidad de los estudios revisados. </w:t>
      </w:r>
    </w:p>
    <w:p w14:paraId="6BA83134" w14:textId="714841F7" w:rsidR="00545AD2" w:rsidRPr="00367BEC" w:rsidRDefault="00A927A8" w:rsidP="00CF1C1E">
      <w:pPr>
        <w:spacing w:after="0" w:line="480" w:lineRule="auto"/>
        <w:jc w:val="both"/>
        <w:rPr>
          <w:rFonts w:ascii="Times New Roman" w:hAnsi="Times New Roman" w:cs="Times New Roman"/>
        </w:rPr>
      </w:pPr>
      <w:r w:rsidRPr="00367BEC">
        <w:rPr>
          <w:rFonts w:ascii="Times New Roman" w:hAnsi="Times New Roman"/>
        </w:rPr>
        <w:t xml:space="preserve">Los datos de la vida real que respaldan los hallazgos de ensayos clínicos experimentales pueden favorecer la generalización de los resultados. Sin embargo, esto no debe ser incompatible con un control adecuado de las amenazas a la validez interna. Es necesario llevar a cabo más estudios que aporten datos de la vida real, siempre que se garantice un enfoque metodológico apropiado, incluidas las intervenciones planificadas y la aleatorización </w:t>
      </w:r>
      <w:r w:rsidR="00CB1C6B" w:rsidRPr="00367BEC">
        <w:rPr>
          <w:rFonts w:ascii="Times New Roman" w:hAnsi="Times New Roman" w:cs="Times New Roman"/>
        </w:rPr>
        <w:fldChar w:fldCharType="begin"/>
      </w:r>
      <w:r w:rsidR="004F143F" w:rsidRPr="00367BEC">
        <w:rPr>
          <w:rFonts w:ascii="Times New Roman" w:hAnsi="Times New Roman" w:cs="Times New Roman"/>
        </w:rPr>
        <w:instrText xml:space="preserve"> ADDIN ZOTERO_ITEM CSL_CITATION {"citationID":"VWDP8qjM","properties":{"formattedCitation":"(4)","plainCitation":"(4)","noteIndex":0},"citationItems":[{"id":43030,"uris":["http://zotero.org/groups/2141613/items/IC3IMCFF"],"uri":["http://zotero.org/groups/2141613/items/IC3IMCFF"],"itemData":{"id":43030,"type":"article-journal","archive_location":"27959688","container-title":"N Engl J Med","DOI":"10.1056/NEJMsb1609216","ISSN":"0028-4793","issue":"23","journalAbbreviation":"The New England journal of medicine","language":"eng","page":"2293-2297","source":"Nlm","title":"Real-World Evidence - What Is It and What Can It Tell Us?","title-short":"Real-World Evidence - What Is It and What Can It Tell Us?","volume":"375","author":[{"family":"Sherman","given":"R. E."},{"family":"Anderson","given":"S. A."},{"family":"Dal Pan","given":"G. J."},{"family":"Gray","given":"G. W."},{"family":"Gross","given":"T."},{"family":"Hunter","given":"N. L."},{"family":"LaVange","given":"L."},{"family":"Marinac-Dabic","given":"D."},{"family":"Marks","given":"P. W."},{"family":"Robb","given":"M. A."},{"family":"Shuren","given":"J."},{"family":"Temple","given":"R."},{"family":"Woodcock","given":"J."},{"family":"Yue","given":"L. Q."},{"family":"Califf","given":"R. M."}],"issued":{"date-parts":[["2016",12,8]]}}}],"schema":"https://github.com/citation-style-language/schema/raw/master/csl-citation.json"} </w:instrText>
      </w:r>
      <w:r w:rsidR="00CB1C6B" w:rsidRPr="00367BEC">
        <w:rPr>
          <w:rFonts w:ascii="Times New Roman" w:hAnsi="Times New Roman" w:cs="Times New Roman"/>
        </w:rPr>
        <w:fldChar w:fldCharType="separate"/>
      </w:r>
      <w:r w:rsidR="00C56A05" w:rsidRPr="00367BEC">
        <w:rPr>
          <w:rFonts w:ascii="Times New Roman" w:hAnsi="Times New Roman" w:cs="Times New Roman"/>
        </w:rPr>
        <w:t>(4)</w:t>
      </w:r>
      <w:r w:rsidR="00CB1C6B" w:rsidRPr="00367BEC">
        <w:rPr>
          <w:rFonts w:ascii="Times New Roman" w:hAnsi="Times New Roman" w:cs="Times New Roman"/>
        </w:rPr>
        <w:fldChar w:fldCharType="end"/>
      </w:r>
      <w:r w:rsidRPr="00367BEC">
        <w:rPr>
          <w:rFonts w:ascii="Times New Roman" w:hAnsi="Times New Roman"/>
        </w:rPr>
        <w:t>. Además, las intervenciones para el control del dolor deben proporcionar una recuperación integral de los pacientes que se traduzca en la mejora de su calidad de vida global. Por ello, se anima a realizar estudios pragmáticos con una alta calidad metodológica para confirmar los beneficios clínicos del tapentadol en términos de función y calidad de vida.</w:t>
      </w:r>
    </w:p>
    <w:p w14:paraId="36A8A747" w14:textId="77777777" w:rsidR="00865510" w:rsidRDefault="00865510" w:rsidP="00CF1C1E">
      <w:pPr>
        <w:spacing w:before="120" w:after="120" w:line="480" w:lineRule="auto"/>
        <w:jc w:val="both"/>
        <w:rPr>
          <w:b/>
        </w:rPr>
      </w:pPr>
    </w:p>
    <w:p w14:paraId="76F17503" w14:textId="77777777" w:rsidR="00865510" w:rsidRDefault="00865510" w:rsidP="00CF1C1E">
      <w:pPr>
        <w:spacing w:before="120" w:after="120" w:line="480" w:lineRule="auto"/>
        <w:jc w:val="both"/>
        <w:rPr>
          <w:b/>
        </w:rPr>
      </w:pPr>
    </w:p>
    <w:p w14:paraId="23BEEF76" w14:textId="7F262F4C" w:rsidR="00CF1C1E" w:rsidRPr="00697500" w:rsidRDefault="00CF1C1E" w:rsidP="00CF1C1E">
      <w:pPr>
        <w:spacing w:before="120" w:after="120" w:line="480" w:lineRule="auto"/>
        <w:jc w:val="both"/>
        <w:rPr>
          <w:rFonts w:cstheme="minorHAnsi"/>
        </w:rPr>
      </w:pPr>
      <w:r w:rsidRPr="00697500">
        <w:rPr>
          <w:b/>
        </w:rPr>
        <w:t>REFERENCIAS</w:t>
      </w:r>
    </w:p>
    <w:p w14:paraId="5FD61334" w14:textId="77777777" w:rsidR="004F143F" w:rsidRPr="00D447F5" w:rsidRDefault="002978E2" w:rsidP="00170D2E">
      <w:pPr>
        <w:pStyle w:val="Bibliografa"/>
        <w:ind w:left="505" w:hanging="505"/>
        <w:rPr>
          <w:rFonts w:ascii="Times New Roman" w:hAnsi="Times New Roman" w:cs="Times New Roman"/>
          <w:lang w:val="en-US"/>
        </w:rPr>
      </w:pPr>
      <w:r w:rsidRPr="00367BEC">
        <w:lastRenderedPageBreak/>
        <w:fldChar w:fldCharType="begin"/>
      </w:r>
      <w:r w:rsidR="004F143F" w:rsidRPr="00697500">
        <w:instrText xml:space="preserve"> ADDIN ZOTERO_BIBL {"uncited":[],"omitted":[],"custom":[]} CSL_BIBLIOGRAPHY </w:instrText>
      </w:r>
      <w:r w:rsidRPr="00367BEC">
        <w:fldChar w:fldCharType="separate"/>
      </w:r>
      <w:r w:rsidR="004F143F" w:rsidRPr="00697500">
        <w:rPr>
          <w:rFonts w:ascii="Times New Roman" w:hAnsi="Times New Roman" w:cs="Times New Roman"/>
        </w:rPr>
        <w:t xml:space="preserve">1. </w:t>
      </w:r>
      <w:r w:rsidR="004F143F" w:rsidRPr="00697500">
        <w:rPr>
          <w:rFonts w:ascii="Times New Roman" w:hAnsi="Times New Roman" w:cs="Times New Roman"/>
        </w:rPr>
        <w:tab/>
        <w:t xml:space="preserve">Baron R, Eberhart L, Kern KU, Regner S, Rolke R, Simanski C, et al. </w:t>
      </w:r>
      <w:r w:rsidR="004F143F" w:rsidRPr="00D447F5">
        <w:rPr>
          <w:rFonts w:ascii="Times New Roman" w:hAnsi="Times New Roman" w:cs="Times New Roman"/>
          <w:lang w:val="en-US"/>
        </w:rPr>
        <w:t xml:space="preserve">Tapentadol Prolonged Release for Chronic Pain: A Review of Clinical Trials and 5 Years of Routine Clinical Practice Data. Pain Pr. 2016 Jun;17(5):678–700. </w:t>
      </w:r>
    </w:p>
    <w:p w14:paraId="32AB8C08"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 </w:t>
      </w:r>
      <w:r w:rsidRPr="00D447F5">
        <w:rPr>
          <w:rFonts w:ascii="Times New Roman" w:hAnsi="Times New Roman" w:cs="Times New Roman"/>
          <w:lang w:val="en-US"/>
        </w:rPr>
        <w:tab/>
        <w:t xml:space="preserve">Kress HG. Tapentadol and its two mechanisms of action: Is there a new pharmacological class of centrally-acting analgesics on the horizon? Eur J Pain. 2010 Sep;14(8):781–3. </w:t>
      </w:r>
    </w:p>
    <w:p w14:paraId="7A27D616"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3. </w:t>
      </w:r>
      <w:r w:rsidRPr="00D447F5">
        <w:rPr>
          <w:rFonts w:ascii="Times New Roman" w:hAnsi="Times New Roman" w:cs="Times New Roman"/>
          <w:lang w:val="en-US"/>
        </w:rPr>
        <w:tab/>
        <w:t xml:space="preserve">Stollenwerk A, Sohns M, Heisig F, Elling C, von Zabern D. Review of Post-Marketing Safety Data on Tapentadol, a Centrally Acting Analgesic. Adv Ther. 2017 Jan;35(1):12–30. </w:t>
      </w:r>
    </w:p>
    <w:p w14:paraId="654CF942"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4. </w:t>
      </w:r>
      <w:r w:rsidRPr="00D447F5">
        <w:rPr>
          <w:rFonts w:ascii="Times New Roman" w:hAnsi="Times New Roman" w:cs="Times New Roman"/>
          <w:lang w:val="en-US"/>
        </w:rPr>
        <w:tab/>
        <w:t xml:space="preserve">Sherman RE, Anderson SA, Dal Pan GJ, Gray GW, Gross T, Hunter NL, et al. Real-World Evidence - What Is It and What Can It Tell Us? N Engl J Med. 2016 Dec 8;375(23):2293–7. </w:t>
      </w:r>
    </w:p>
    <w:p w14:paraId="55034F23"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5. </w:t>
      </w:r>
      <w:r w:rsidRPr="00D447F5">
        <w:rPr>
          <w:rFonts w:ascii="Times New Roman" w:hAnsi="Times New Roman" w:cs="Times New Roman"/>
          <w:lang w:val="en-US"/>
        </w:rPr>
        <w:tab/>
        <w:t xml:space="preserve">Liberati A, Altman DG, Tetzlaff J, Mulrow C, Gotzsche PC, Ioannidis JP, et al. The PRISMA statement for reporting systematic reviews and meta-analyses of studies that evaluate health care interventions: explanation and elaboration. PLoS Med. 2009 Jul 21;6(7):e1000100. </w:t>
      </w:r>
    </w:p>
    <w:p w14:paraId="7AFFDCB6"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6. </w:t>
      </w:r>
      <w:r w:rsidRPr="00D447F5">
        <w:rPr>
          <w:rFonts w:ascii="Times New Roman" w:hAnsi="Times New Roman" w:cs="Times New Roman"/>
          <w:lang w:val="en-US"/>
        </w:rPr>
        <w:tab/>
        <w:t>National Heart, Lung, and Blood Institute (NHLBI). Study Quality Assessment Tools [Internet]. [cited 2019 Jul 9]. Available from: https://www.nhlbi.nih.gov/health-topics/study-quality-assessment-tools</w:t>
      </w:r>
    </w:p>
    <w:p w14:paraId="44C31AA4"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7. </w:t>
      </w:r>
      <w:r w:rsidRPr="00D447F5">
        <w:rPr>
          <w:rFonts w:ascii="Times New Roman" w:hAnsi="Times New Roman" w:cs="Times New Roman"/>
          <w:lang w:val="en-US"/>
        </w:rPr>
        <w:tab/>
        <w:t>World Health Organization. WHO guidelines for the pharmacological and radiotherapeutic management of cancer pain in adults and adolescents. [Internet]. 2018 [cited 2019 Jul 17]. Available from: http://www.ncbi.nlm.nih.gov/books/NBK537492/</w:t>
      </w:r>
    </w:p>
    <w:p w14:paraId="0BE1EE68"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8. </w:t>
      </w:r>
      <w:r w:rsidRPr="00D447F5">
        <w:rPr>
          <w:rFonts w:ascii="Times New Roman" w:hAnsi="Times New Roman" w:cs="Times New Roman"/>
          <w:lang w:val="en-US"/>
        </w:rPr>
        <w:tab/>
        <w:t xml:space="preserve">Billeci D, Coluzzi F. Tapentadol extended release for the management of chronic neck pain. J Pain Res. 2017;10:495–505. </w:t>
      </w:r>
    </w:p>
    <w:p w14:paraId="7583C3AD"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9. </w:t>
      </w:r>
      <w:r w:rsidRPr="00D447F5">
        <w:rPr>
          <w:rFonts w:ascii="Times New Roman" w:hAnsi="Times New Roman" w:cs="Times New Roman"/>
          <w:lang w:val="en-US"/>
        </w:rPr>
        <w:tab/>
        <w:t xml:space="preserve">Brunetti GA, Palumbo G, Morano GS, Baldacci E, Carmosino I, Annechini G, et al. Tapentadol pr for pain syndromes in real life patients with hematological malignancy. Cardiovasc Hematol Agents Med Chem. 2016;14(1):68–74. </w:t>
      </w:r>
    </w:p>
    <w:p w14:paraId="5AF6B104" w14:textId="77777777" w:rsidR="004F143F" w:rsidRPr="00170D2E" w:rsidRDefault="004F143F" w:rsidP="004F143F">
      <w:pPr>
        <w:pStyle w:val="Bibliografa"/>
        <w:ind w:left="505" w:hanging="505"/>
        <w:rPr>
          <w:rFonts w:ascii="Times New Roman" w:hAnsi="Times New Roman" w:cs="Times New Roman"/>
          <w:lang w:val="en-GB"/>
        </w:rPr>
      </w:pPr>
      <w:r w:rsidRPr="00D447F5">
        <w:rPr>
          <w:rFonts w:ascii="Times New Roman" w:hAnsi="Times New Roman" w:cs="Times New Roman"/>
          <w:lang w:val="en-US"/>
        </w:rPr>
        <w:t xml:space="preserve">10. </w:t>
      </w:r>
      <w:r w:rsidRPr="00D447F5">
        <w:rPr>
          <w:rFonts w:ascii="Times New Roman" w:hAnsi="Times New Roman" w:cs="Times New Roman"/>
          <w:lang w:val="en-US"/>
        </w:rPr>
        <w:tab/>
        <w:t xml:space="preserve">Coluzzi F, Raffa RB, Pergolizzi J, Rocco A, Locarini P, Cenfra N, et al. Tapentadol prolonged release for patients with multiple myeloma suffering from moderate-to-severe cancer pain due to bone disease. </w:t>
      </w:r>
      <w:r w:rsidRPr="00170D2E">
        <w:rPr>
          <w:rFonts w:ascii="Times New Roman" w:hAnsi="Times New Roman" w:cs="Times New Roman"/>
          <w:lang w:val="en-GB"/>
        </w:rPr>
        <w:t xml:space="preserve">J Pain Res. 2015;8:229–38. </w:t>
      </w:r>
    </w:p>
    <w:p w14:paraId="44F1D951" w14:textId="77777777" w:rsidR="004F143F" w:rsidRPr="00D447F5" w:rsidRDefault="004F143F" w:rsidP="004F143F">
      <w:pPr>
        <w:pStyle w:val="Bibliografa"/>
        <w:ind w:left="505" w:hanging="505"/>
        <w:rPr>
          <w:rFonts w:ascii="Times New Roman" w:hAnsi="Times New Roman" w:cs="Times New Roman"/>
          <w:lang w:val="en-US"/>
        </w:rPr>
      </w:pPr>
      <w:r w:rsidRPr="00170D2E">
        <w:rPr>
          <w:rFonts w:ascii="Times New Roman" w:hAnsi="Times New Roman" w:cs="Times New Roman"/>
          <w:lang w:val="en-GB"/>
        </w:rPr>
        <w:t xml:space="preserve">11. </w:t>
      </w:r>
      <w:r w:rsidRPr="00170D2E">
        <w:rPr>
          <w:rFonts w:ascii="Times New Roman" w:hAnsi="Times New Roman" w:cs="Times New Roman"/>
          <w:lang w:val="en-GB"/>
        </w:rPr>
        <w:tab/>
        <w:t xml:space="preserve">Finco G, Mura P, Musu M, Deidda C, Saba M, Demelas I, et al. </w:t>
      </w:r>
      <w:r w:rsidRPr="00D447F5">
        <w:rPr>
          <w:rFonts w:ascii="Times New Roman" w:hAnsi="Times New Roman" w:cs="Times New Roman"/>
          <w:lang w:val="en-US"/>
        </w:rPr>
        <w:t xml:space="preserve">Long-term, prolonged-release oral tapentadol for the treatment of refractory chronic low back pain: A single-center, observational study. Minerva Med. 2018;109(4):259–65. </w:t>
      </w:r>
    </w:p>
    <w:p w14:paraId="0D2AE3BA"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12. </w:t>
      </w:r>
      <w:r w:rsidRPr="00D447F5">
        <w:rPr>
          <w:rFonts w:ascii="Times New Roman" w:hAnsi="Times New Roman" w:cs="Times New Roman"/>
          <w:lang w:val="en-US"/>
        </w:rPr>
        <w:tab/>
        <w:t xml:space="preserve">Guillen-Astete CA, Cardona-Carballo C, de la Casa-Resino C. Tapentadol versus tramadol in the management of low back pain in the emergency department: Impact of use on the need for reassessments. Med Baltim. 2017 Nov;96(45):e8403. </w:t>
      </w:r>
    </w:p>
    <w:p w14:paraId="416F0E3E" w14:textId="77777777" w:rsidR="004F143F" w:rsidRPr="002D3CBA"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13. </w:t>
      </w:r>
      <w:r w:rsidRPr="00D447F5">
        <w:rPr>
          <w:rFonts w:ascii="Times New Roman" w:hAnsi="Times New Roman" w:cs="Times New Roman"/>
          <w:lang w:val="en-US"/>
        </w:rPr>
        <w:tab/>
        <w:t xml:space="preserve">López Ramírez E, Muñoz Carmona DM, Contreras Martínez J, De La Torre-Luque A. Tapentadol in the management of opioid-naïve patients with cancer pain. </w:t>
      </w:r>
      <w:r w:rsidRPr="00697500">
        <w:rPr>
          <w:rFonts w:ascii="Times New Roman" w:hAnsi="Times New Roman" w:cs="Times New Roman"/>
          <w:lang w:val="en-US"/>
        </w:rPr>
        <w:t xml:space="preserve">Rev Soc Espanola Dolor. 2016;23(1):32–8. </w:t>
      </w:r>
    </w:p>
    <w:p w14:paraId="5C8238CA" w14:textId="77777777" w:rsidR="004F143F" w:rsidRPr="00D447F5" w:rsidRDefault="004F143F" w:rsidP="004F143F">
      <w:pPr>
        <w:pStyle w:val="Bibliografa"/>
        <w:ind w:left="505" w:hanging="505"/>
        <w:rPr>
          <w:rFonts w:ascii="Times New Roman" w:hAnsi="Times New Roman" w:cs="Times New Roman"/>
          <w:lang w:val="en-US"/>
        </w:rPr>
      </w:pPr>
      <w:r w:rsidRPr="00697500">
        <w:rPr>
          <w:rFonts w:ascii="Times New Roman" w:hAnsi="Times New Roman" w:cs="Times New Roman"/>
          <w:lang w:val="en-US"/>
        </w:rPr>
        <w:t xml:space="preserve">14. </w:t>
      </w:r>
      <w:r w:rsidRPr="00697500">
        <w:rPr>
          <w:rFonts w:ascii="Times New Roman" w:hAnsi="Times New Roman" w:cs="Times New Roman"/>
          <w:lang w:val="en-US"/>
        </w:rPr>
        <w:tab/>
        <w:t xml:space="preserve">Mercadante S, Porzio G, Ferrera P, Aielli F, Adile C, Ficorella C, et al. </w:t>
      </w:r>
      <w:r w:rsidRPr="00D447F5">
        <w:rPr>
          <w:rFonts w:ascii="Times New Roman" w:hAnsi="Times New Roman" w:cs="Times New Roman"/>
          <w:lang w:val="en-US"/>
        </w:rPr>
        <w:t xml:space="preserve">Tapentadol in cancer pain management: a prospective open-label study. Curr Med Res Opin. 2012 Nov;28(11):1775–9. </w:t>
      </w:r>
    </w:p>
    <w:p w14:paraId="0AC9762D"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lastRenderedPageBreak/>
        <w:t xml:space="preserve">15. </w:t>
      </w:r>
      <w:r w:rsidRPr="00D447F5">
        <w:rPr>
          <w:rFonts w:ascii="Times New Roman" w:hAnsi="Times New Roman" w:cs="Times New Roman"/>
          <w:lang w:val="en-US"/>
        </w:rPr>
        <w:tab/>
        <w:t>Passavanti MB, Fiore M, Sansone P, Aurilio C, Pota V, Barbarisi M, et al. The beneficial use of ultramicronized palmitoylethanolamide as add-on therapy to Tapentadol in the treatment of low back pain: A pilot study comparing prospective and retrospective observational arms. BMC Anesthesiol [Internet]. 2017;17(1). Available from: http://www.embase.com/search/results?subaction=viewrecord&amp;from=export&amp;id=L619775660 http://dx.doi.org/10.1186/s12871-017-0461-9</w:t>
      </w:r>
    </w:p>
    <w:p w14:paraId="6DC75930"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16. </w:t>
      </w:r>
      <w:r w:rsidRPr="00D447F5">
        <w:rPr>
          <w:rFonts w:ascii="Times New Roman" w:hAnsi="Times New Roman" w:cs="Times New Roman"/>
          <w:lang w:val="en-US"/>
        </w:rPr>
        <w:tab/>
        <w:t xml:space="preserve">Samolsky Dekel BG, Ghedini S, Gori A, Vasarri A, Di Nino G, Melotti RM. Lasting Prolonged-Release Tapentadol for Moderate/Severe Non-Cancer Musculoskeletal Chronic Pain. Pain Ther. 2015 Jun;4(1):107–17. </w:t>
      </w:r>
    </w:p>
    <w:p w14:paraId="13B57329"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17. </w:t>
      </w:r>
      <w:r w:rsidRPr="00D447F5">
        <w:rPr>
          <w:rFonts w:ascii="Times New Roman" w:hAnsi="Times New Roman" w:cs="Times New Roman"/>
          <w:lang w:val="en-US"/>
        </w:rPr>
        <w:tab/>
        <w:t xml:space="preserve">Schikowski A, Krings D, Schwenke K. Tapentadol prolonged release for severe chronic cancer-related pain: effectiveness, tolerability, and influence on quality of life of the patients. J Pain Res. 2015;8:1–8. </w:t>
      </w:r>
    </w:p>
    <w:p w14:paraId="330FB4F3"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18. </w:t>
      </w:r>
      <w:r w:rsidRPr="00D447F5">
        <w:rPr>
          <w:rFonts w:ascii="Times New Roman" w:hAnsi="Times New Roman" w:cs="Times New Roman"/>
          <w:lang w:val="en-US"/>
        </w:rPr>
        <w:tab/>
        <w:t xml:space="preserve">Schwenke K, A. A, Litzenburger B. Tapentadol Prolonged Release as Used in Clinical Practice in Patients with Severe Chronic Tumor Pain. J Palliat Care Med. 2015;05(02). </w:t>
      </w:r>
    </w:p>
    <w:p w14:paraId="7C9DABEF"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19. </w:t>
      </w:r>
      <w:r w:rsidRPr="00D447F5">
        <w:rPr>
          <w:rFonts w:ascii="Times New Roman" w:hAnsi="Times New Roman" w:cs="Times New Roman"/>
          <w:lang w:val="en-US"/>
        </w:rPr>
        <w:tab/>
        <w:t xml:space="preserve">Schwittay A, Schumann C, Litzenburger BC, Schwenke K. Tapentadol prolonged release for severe chronic pain: results of a noninterventional study involving general practitioners and internists. J Pain Palliat Care Pharmacother. 2013 Aug;27(3):225–34. </w:t>
      </w:r>
    </w:p>
    <w:p w14:paraId="47D9F1F9"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20. </w:t>
      </w:r>
      <w:r w:rsidRPr="00D447F5">
        <w:rPr>
          <w:rFonts w:ascii="Times New Roman" w:hAnsi="Times New Roman" w:cs="Times New Roman"/>
          <w:lang w:val="en-US"/>
        </w:rPr>
        <w:tab/>
        <w:t xml:space="preserve">Strick V. Management of severe chronic pain with tapentadol prolonged release - long-term data from pain specialists. Curr Med Res Opin. 2014 Oct;30(10):2085–92. </w:t>
      </w:r>
    </w:p>
    <w:p w14:paraId="0F24CAEE"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21. </w:t>
      </w:r>
      <w:r w:rsidRPr="00D447F5">
        <w:rPr>
          <w:rFonts w:ascii="Times New Roman" w:hAnsi="Times New Roman" w:cs="Times New Roman"/>
          <w:lang w:val="en-US"/>
        </w:rPr>
        <w:tab/>
        <w:t xml:space="preserve">Ueberall MA, Mueller-Schwefe GHH. Efficacy and tolerability balance of oxycodone/ naloxone and tapentadol in chronic low back pain with a neuropathic component: A blinded end point analysis of randomly selected routine data from 12-week prospective open-label observations. J Pain Res. 2016;9:1001–20. </w:t>
      </w:r>
    </w:p>
    <w:p w14:paraId="1189CE67"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22. </w:t>
      </w:r>
      <w:r w:rsidRPr="00D447F5">
        <w:rPr>
          <w:rFonts w:ascii="Times New Roman" w:hAnsi="Times New Roman" w:cs="Times New Roman"/>
          <w:lang w:val="en-US"/>
        </w:rPr>
        <w:tab/>
        <w:t xml:space="preserve">Freo U, Romualdi P, Kress HG. Tapentadol for neuropathic pain: a review of clinical studies. J Pain Res. 2019 May;Volume 12:1537–51. </w:t>
      </w:r>
    </w:p>
    <w:p w14:paraId="6EBFF2E6"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23. </w:t>
      </w:r>
      <w:r w:rsidRPr="00D447F5">
        <w:rPr>
          <w:rFonts w:ascii="Times New Roman" w:hAnsi="Times New Roman" w:cs="Times New Roman"/>
          <w:lang w:val="en-US"/>
        </w:rPr>
        <w:tab/>
        <w:t xml:space="preserve">Baron R, Kern U, Müller M, Dubois C, Falke D, Steigerwald I. Effectiveness and Tolerability of a Moderate Dose of Tapentadol Prolonged Release for Managing Severe, Chronic Low Back Pain with a Neuropathic Component: An Open-label Continuation Arm of a Randomized Phase 3b Study. Pain Pract. 2015 Jun;15(5):471–86. </w:t>
      </w:r>
    </w:p>
    <w:p w14:paraId="54D64535"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24. </w:t>
      </w:r>
      <w:r w:rsidRPr="00D447F5">
        <w:rPr>
          <w:rFonts w:ascii="Times New Roman" w:hAnsi="Times New Roman" w:cs="Times New Roman"/>
          <w:lang w:val="en-US"/>
        </w:rPr>
        <w:tab/>
        <w:t xml:space="preserve">Panella L, Rinonapoli G, Coaccioli S. Where should analgesia lead to? Quality of life and functional recovery with tapentadol. J Pain Res. 2019 May;Volume 12:1561–7. </w:t>
      </w:r>
    </w:p>
    <w:p w14:paraId="3B29F292"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25. </w:t>
      </w:r>
      <w:r w:rsidRPr="00D447F5">
        <w:rPr>
          <w:rFonts w:ascii="Times New Roman" w:hAnsi="Times New Roman" w:cs="Times New Roman"/>
          <w:lang w:val="en-US"/>
        </w:rPr>
        <w:tab/>
        <w:t>OCEBM Levels of Evidence [Internet]. 2016 [cited 2019 Jul 23]. Available from: https://www.cebm.net/2016/05/ocebm-levels-of-evidence/</w:t>
      </w:r>
    </w:p>
    <w:p w14:paraId="534BAF98" w14:textId="77777777" w:rsidR="004F143F" w:rsidRPr="00D447F5" w:rsidRDefault="004F143F" w:rsidP="004F143F">
      <w:pPr>
        <w:pStyle w:val="Bibliografa"/>
        <w:ind w:left="505" w:hanging="505"/>
        <w:rPr>
          <w:rFonts w:ascii="Times New Roman" w:hAnsi="Times New Roman" w:cs="Times New Roman"/>
          <w:lang w:val="en-US"/>
        </w:rPr>
      </w:pPr>
      <w:r w:rsidRPr="00697500">
        <w:rPr>
          <w:rFonts w:ascii="Times New Roman" w:hAnsi="Times New Roman" w:cs="Times New Roman"/>
          <w:lang w:val="en-US"/>
        </w:rPr>
        <w:t xml:space="preserve">26. </w:t>
      </w:r>
      <w:r w:rsidRPr="00697500">
        <w:rPr>
          <w:rFonts w:ascii="Times New Roman" w:hAnsi="Times New Roman" w:cs="Times New Roman"/>
          <w:lang w:val="en-US"/>
        </w:rPr>
        <w:tab/>
        <w:t xml:space="preserve">Baron R, Likar R, Martin‐Mola E, Blanco FJ, Kennes L, Müller M, et al. </w:t>
      </w:r>
      <w:r w:rsidRPr="00D447F5">
        <w:rPr>
          <w:rFonts w:ascii="Times New Roman" w:hAnsi="Times New Roman" w:cs="Times New Roman"/>
          <w:lang w:val="en-US"/>
        </w:rPr>
        <w:t xml:space="preserve">Effectiveness of Tapentadol Prolonged Release (PR) Compared with Oxycodone/Naloxone PR for the Management of Severe Chronic Low Back Pain with a Neuropathic Component: A Randomized, Controlled, Open-Label, Phase 3b/4 Study. Pain Pract. 2016;16(5):580–99. </w:t>
      </w:r>
    </w:p>
    <w:p w14:paraId="199C2AEB" w14:textId="77777777" w:rsidR="004F143F" w:rsidRPr="00D447F5"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t xml:space="preserve">27. </w:t>
      </w:r>
      <w:r w:rsidRPr="00D447F5">
        <w:rPr>
          <w:rFonts w:ascii="Times New Roman" w:hAnsi="Times New Roman" w:cs="Times New Roman"/>
          <w:lang w:val="en-US"/>
        </w:rPr>
        <w:tab/>
        <w:t xml:space="preserve">Buynak R, Shapiro DY, Okamoto A, Hove IV, Rauschkolb C, Steup A, et al. Efficacy and safety of tapentadol extended release for the management of chronic low back pain: results of a prospective, randomized, double-blind, placebo- and active-controlled Phase III study. Expert Opin Pharmacother. 2010 Aug 1;11(11):1787–804. </w:t>
      </w:r>
    </w:p>
    <w:p w14:paraId="172744E7" w14:textId="77777777" w:rsidR="004F143F" w:rsidRPr="00697500" w:rsidRDefault="004F143F" w:rsidP="004F143F">
      <w:pPr>
        <w:pStyle w:val="Bibliografa"/>
        <w:ind w:left="505" w:hanging="505"/>
        <w:rPr>
          <w:rFonts w:ascii="Times New Roman" w:hAnsi="Times New Roman" w:cs="Times New Roman"/>
          <w:lang w:val="en-US"/>
        </w:rPr>
      </w:pPr>
      <w:r w:rsidRPr="00D447F5">
        <w:rPr>
          <w:rFonts w:ascii="Times New Roman" w:hAnsi="Times New Roman" w:cs="Times New Roman"/>
          <w:lang w:val="en-US"/>
        </w:rPr>
        <w:lastRenderedPageBreak/>
        <w:t xml:space="preserve">28. </w:t>
      </w:r>
      <w:r w:rsidRPr="00D447F5">
        <w:rPr>
          <w:rFonts w:ascii="Times New Roman" w:hAnsi="Times New Roman" w:cs="Times New Roman"/>
          <w:lang w:val="en-US"/>
        </w:rPr>
        <w:tab/>
        <w:t xml:space="preserve">Wild JE, Grond S, Kuperwasser B, Gilbert J, McCann B, Lange B, et al. Long-term Safety and Tolerability of Tapentadol Extended Release for the Management of Chronic Low Back Pain or Osteoarthritis Pain. </w:t>
      </w:r>
      <w:r w:rsidRPr="00697500">
        <w:rPr>
          <w:rFonts w:ascii="Times New Roman" w:hAnsi="Times New Roman" w:cs="Times New Roman"/>
          <w:lang w:val="en-US"/>
        </w:rPr>
        <w:t xml:space="preserve">Pain Pract. 2010;10(5):416–27. </w:t>
      </w:r>
    </w:p>
    <w:p w14:paraId="588B08FD" w14:textId="77777777" w:rsidR="004F143F" w:rsidRPr="00D447F5" w:rsidRDefault="004F143F" w:rsidP="004F143F">
      <w:pPr>
        <w:pStyle w:val="Bibliografa"/>
        <w:ind w:left="505" w:hanging="505"/>
        <w:rPr>
          <w:rFonts w:ascii="Times New Roman" w:hAnsi="Times New Roman" w:cs="Times New Roman"/>
          <w:lang w:val="en-US"/>
        </w:rPr>
      </w:pPr>
      <w:r w:rsidRPr="002D3CBA">
        <w:rPr>
          <w:rFonts w:ascii="Times New Roman" w:hAnsi="Times New Roman" w:cs="Times New Roman"/>
          <w:lang w:val="en-US"/>
        </w:rPr>
        <w:t xml:space="preserve">29. </w:t>
      </w:r>
      <w:r w:rsidRPr="002D3CBA">
        <w:rPr>
          <w:rFonts w:ascii="Times New Roman" w:hAnsi="Times New Roman" w:cs="Times New Roman"/>
          <w:lang w:val="en-US"/>
        </w:rPr>
        <w:tab/>
        <w:t xml:space="preserve">Mercadante S, Porzio G, Ferrera P, Aielli F, Adile C, Ficorella C, et al. </w:t>
      </w:r>
      <w:r w:rsidRPr="00D447F5">
        <w:rPr>
          <w:rFonts w:ascii="Times New Roman" w:hAnsi="Times New Roman" w:cs="Times New Roman"/>
          <w:lang w:val="en-US"/>
        </w:rPr>
        <w:t xml:space="preserve">Tapentadol in cancer pain management: a prospective open-label study. Curr Med Res Opin. 2012 Nov 1;28(11):1775–9. </w:t>
      </w:r>
    </w:p>
    <w:p w14:paraId="68E4BF27" w14:textId="77777777" w:rsidR="004F143F" w:rsidRPr="00367BEC" w:rsidRDefault="004F143F" w:rsidP="004F143F">
      <w:pPr>
        <w:pStyle w:val="Bibliografa"/>
        <w:ind w:left="505" w:hanging="505"/>
        <w:rPr>
          <w:rFonts w:ascii="Times New Roman" w:hAnsi="Times New Roman" w:cs="Times New Roman"/>
        </w:rPr>
      </w:pPr>
      <w:r w:rsidRPr="00D447F5">
        <w:rPr>
          <w:rFonts w:ascii="Times New Roman" w:hAnsi="Times New Roman" w:cs="Times New Roman"/>
          <w:lang w:val="en-US"/>
        </w:rPr>
        <w:t xml:space="preserve">30. </w:t>
      </w:r>
      <w:r w:rsidRPr="00D447F5">
        <w:rPr>
          <w:rFonts w:ascii="Times New Roman" w:hAnsi="Times New Roman" w:cs="Times New Roman"/>
          <w:lang w:val="en-US"/>
        </w:rPr>
        <w:tab/>
        <w:t xml:space="preserve">Kress HG, Koch ED, Kosturski H, Steup A, Karcher K, Lange B, et al. Tapentadol prolonged release for managing moderate to severe, chronic malignant tumor-related pain. </w:t>
      </w:r>
      <w:r w:rsidRPr="00367BEC">
        <w:rPr>
          <w:rFonts w:ascii="Times New Roman" w:hAnsi="Times New Roman" w:cs="Times New Roman"/>
        </w:rPr>
        <w:t xml:space="preserve">Pain Physician. 2014 Aug;17(4):329–43. </w:t>
      </w:r>
    </w:p>
    <w:p w14:paraId="5063D475" w14:textId="77777777" w:rsidR="004F143F" w:rsidRPr="00367BEC" w:rsidRDefault="002978E2" w:rsidP="00DD77CA">
      <w:pPr>
        <w:pStyle w:val="Bibliografa"/>
        <w:ind w:left="0" w:firstLine="0"/>
        <w:rPr>
          <w:rFonts w:ascii="Times New Roman" w:hAnsi="Times New Roman" w:cs="Times New Roman"/>
        </w:rPr>
      </w:pPr>
      <w:r w:rsidRPr="00367BEC">
        <w:rPr>
          <w:rFonts w:ascii="Times New Roman" w:hAnsi="Times New Roman" w:cs="Times New Roman"/>
        </w:rPr>
        <w:fldChar w:fldCharType="end"/>
      </w:r>
    </w:p>
    <w:p w14:paraId="78A00C97" w14:textId="77777777" w:rsidR="004F143F" w:rsidRPr="00367BEC" w:rsidRDefault="004F143F">
      <w:pPr>
        <w:rPr>
          <w:rFonts w:ascii="Times New Roman" w:hAnsi="Times New Roman" w:cs="Times New Roman"/>
        </w:rPr>
      </w:pPr>
      <w:r w:rsidRPr="00367BEC">
        <w:br w:type="page"/>
      </w:r>
    </w:p>
    <w:p w14:paraId="7ED0DA61" w14:textId="20DA7AA7" w:rsidR="00B54A31" w:rsidRPr="00367BEC" w:rsidRDefault="00DE4892" w:rsidP="00DD77CA">
      <w:pPr>
        <w:pStyle w:val="Bibliografa"/>
        <w:ind w:left="0" w:firstLine="0"/>
        <w:rPr>
          <w:rFonts w:ascii="Times New Roman" w:hAnsi="Times New Roman" w:cs="Times New Roman"/>
        </w:rPr>
      </w:pPr>
      <w:r w:rsidRPr="00367BEC">
        <w:rPr>
          <w:rFonts w:ascii="Times New Roman" w:hAnsi="Times New Roman"/>
          <w:b/>
        </w:rPr>
        <w:lastRenderedPageBreak/>
        <w:t>Leyenda de las ilustraciones y las tablas</w:t>
      </w:r>
    </w:p>
    <w:p w14:paraId="4C3FC1DC" w14:textId="7DD4FCF9" w:rsidR="002E7929"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1. Características de los estudios y las muestras</w:t>
      </w:r>
    </w:p>
    <w:p w14:paraId="61E54C51" w14:textId="732BCE34" w:rsidR="002E7929"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2. Descripción de la intervención con tapentadol en cada estudio</w:t>
      </w:r>
    </w:p>
    <w:p w14:paraId="19536572" w14:textId="7CCEFE77" w:rsidR="002E7929"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3. Descripción de la medicación previa y concomitante con opioides en cada estudio</w:t>
      </w:r>
    </w:p>
    <w:p w14:paraId="7F61E58C" w14:textId="3AF2D93F" w:rsidR="00334EAE" w:rsidRPr="00367BEC" w:rsidRDefault="002E7929" w:rsidP="00AC7575">
      <w:pPr>
        <w:rPr>
          <w:rFonts w:ascii="Times New Roman" w:hAnsi="Times New Roman" w:cs="Times New Roman"/>
          <w:bCs/>
        </w:rPr>
      </w:pPr>
      <w:r w:rsidRPr="00367BEC">
        <w:rPr>
          <w:rFonts w:ascii="Times New Roman" w:hAnsi="Times New Roman"/>
        </w:rPr>
        <w:t>Tabla 4. Descripción de las herramientas de evaluación de la intensidad del dolor y parámetros de respuesta</w:t>
      </w:r>
    </w:p>
    <w:p w14:paraId="4019EBDB" w14:textId="6D4EDFE9" w:rsidR="002E7929" w:rsidRPr="00367BEC" w:rsidRDefault="00334EAE" w:rsidP="00AC7575">
      <w:pPr>
        <w:rPr>
          <w:rFonts w:ascii="Times New Roman" w:hAnsi="Times New Roman" w:cs="Times New Roman"/>
        </w:rPr>
      </w:pPr>
      <w:r w:rsidRPr="00367BEC">
        <w:rPr>
          <w:rFonts w:ascii="Times New Roman" w:hAnsi="Times New Roman"/>
        </w:rPr>
        <w:t>Tabla 5. Resultados de intensidad del dolor en cada estudio</w:t>
      </w:r>
    </w:p>
    <w:p w14:paraId="7C8346AD" w14:textId="6D8096B2" w:rsidR="002E7929" w:rsidRPr="00367BEC" w:rsidRDefault="002E7929" w:rsidP="00716208">
      <w:pPr>
        <w:rPr>
          <w:rFonts w:ascii="Times New Roman" w:hAnsi="Times New Roman" w:cs="Times New Roman"/>
        </w:rPr>
      </w:pPr>
      <w:r w:rsidRPr="00367BEC">
        <w:rPr>
          <w:rFonts w:ascii="Times New Roman" w:hAnsi="Times New Roman"/>
        </w:rPr>
        <w:t>Tabla 6. Resultados de respuesta analgésica en cada estudio</w:t>
      </w:r>
    </w:p>
    <w:p w14:paraId="394C477A" w14:textId="460F3DBD" w:rsidR="002E7929"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7. Descripción de las herramientas de evaluación del dolor neuropático y parámetros de respuesta</w:t>
      </w:r>
    </w:p>
    <w:p w14:paraId="770C1347" w14:textId="4EEF04B0" w:rsidR="00334EAE" w:rsidRPr="00367BEC" w:rsidRDefault="00334EAE" w:rsidP="00ED2C50">
      <w:pPr>
        <w:spacing w:after="0" w:line="360" w:lineRule="auto"/>
        <w:jc w:val="both"/>
        <w:rPr>
          <w:rFonts w:ascii="Times New Roman" w:hAnsi="Times New Roman" w:cs="Times New Roman"/>
          <w:bCs/>
        </w:rPr>
      </w:pPr>
      <w:r w:rsidRPr="00367BEC">
        <w:rPr>
          <w:rFonts w:ascii="Times New Roman" w:hAnsi="Times New Roman"/>
        </w:rPr>
        <w:t>Tabla 8. Resultados de dolor neuropático en cada estudio</w:t>
      </w:r>
    </w:p>
    <w:p w14:paraId="33DDF487" w14:textId="43397A96" w:rsidR="00334EAE"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9. Descripción de las herramientas de evaluación de la calidad de vida y parámetros de respuesta</w:t>
      </w:r>
    </w:p>
    <w:p w14:paraId="66E0E2E9" w14:textId="0441C247" w:rsidR="002E7929" w:rsidRPr="00367BEC" w:rsidRDefault="00334EAE" w:rsidP="00ED2C50">
      <w:pPr>
        <w:spacing w:after="0" w:line="360" w:lineRule="auto"/>
        <w:jc w:val="both"/>
        <w:rPr>
          <w:rFonts w:ascii="Times New Roman" w:hAnsi="Times New Roman" w:cs="Times New Roman"/>
          <w:bCs/>
        </w:rPr>
      </w:pPr>
      <w:r w:rsidRPr="00367BEC">
        <w:rPr>
          <w:rFonts w:ascii="Times New Roman" w:hAnsi="Times New Roman"/>
        </w:rPr>
        <w:t>Tabla 10. Resultados de calidad de vida en cada estudio</w:t>
      </w:r>
    </w:p>
    <w:p w14:paraId="32A2178A" w14:textId="08CC323B" w:rsidR="00334EAE"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11. Descripción de otras herramientas de evaluación utilizadas y parámetros de respuesta</w:t>
      </w:r>
    </w:p>
    <w:p w14:paraId="352A0C26" w14:textId="701A1D73" w:rsidR="00716208" w:rsidRPr="00367BEC" w:rsidRDefault="00334EAE" w:rsidP="00ED2C50">
      <w:pPr>
        <w:spacing w:after="0" w:line="360" w:lineRule="auto"/>
        <w:jc w:val="both"/>
        <w:rPr>
          <w:rFonts w:ascii="Times New Roman" w:hAnsi="Times New Roman" w:cs="Times New Roman"/>
          <w:bCs/>
        </w:rPr>
      </w:pPr>
      <w:r w:rsidRPr="00367BEC">
        <w:rPr>
          <w:rFonts w:ascii="Times New Roman" w:hAnsi="Times New Roman"/>
        </w:rPr>
        <w:t>Tabla 12. Resultados de función, discapacidad y otros parámetros en cada estudio</w:t>
      </w:r>
    </w:p>
    <w:p w14:paraId="4BD90FD0" w14:textId="4C50CF0F" w:rsidR="002E7929" w:rsidRPr="00367BEC" w:rsidRDefault="002E7929" w:rsidP="00ED2C50">
      <w:pPr>
        <w:spacing w:after="0" w:line="360" w:lineRule="auto"/>
        <w:jc w:val="both"/>
        <w:rPr>
          <w:rFonts w:ascii="Times New Roman" w:hAnsi="Times New Roman" w:cs="Times New Roman"/>
          <w:bCs/>
        </w:rPr>
      </w:pPr>
      <w:r w:rsidRPr="00367BEC">
        <w:rPr>
          <w:rFonts w:ascii="Times New Roman" w:hAnsi="Times New Roman"/>
        </w:rPr>
        <w:t>Tabla 13. Resultados de función, discapacidad y otros parámetros de respuesta en cada estudio</w:t>
      </w:r>
    </w:p>
    <w:p w14:paraId="3F9FDDCD" w14:textId="5CF8CD93" w:rsidR="00AC7575" w:rsidRPr="00367BEC" w:rsidRDefault="00AC7575" w:rsidP="00ED2C50">
      <w:pPr>
        <w:spacing w:after="0" w:line="360" w:lineRule="auto"/>
        <w:jc w:val="both"/>
        <w:rPr>
          <w:rFonts w:ascii="Times New Roman" w:hAnsi="Times New Roman" w:cs="Times New Roman"/>
          <w:bCs/>
        </w:rPr>
      </w:pPr>
      <w:r w:rsidRPr="00367BEC">
        <w:rPr>
          <w:rFonts w:ascii="Times New Roman" w:hAnsi="Times New Roman"/>
        </w:rPr>
        <w:t xml:space="preserve">Tabla 14. Acontecimientos adversos y notificaciones de interrupciones del tratamiento relacionadas con acontecimientos </w:t>
      </w:r>
      <w:proofErr w:type="spellStart"/>
      <w:r w:rsidRPr="00367BEC">
        <w:rPr>
          <w:rFonts w:ascii="Times New Roman" w:hAnsi="Times New Roman"/>
        </w:rPr>
        <w:t>advers</w:t>
      </w:r>
      <w:r w:rsidR="00D73614">
        <w:rPr>
          <w:rFonts w:ascii="Times New Roman" w:hAnsi="Times New Roman"/>
        </w:rPr>
        <w:t>b</w:t>
      </w:r>
      <w:r w:rsidRPr="00367BEC">
        <w:rPr>
          <w:rFonts w:ascii="Times New Roman" w:hAnsi="Times New Roman"/>
        </w:rPr>
        <w:t>os</w:t>
      </w:r>
      <w:proofErr w:type="spellEnd"/>
      <w:r w:rsidRPr="00367BEC">
        <w:rPr>
          <w:rFonts w:ascii="Times New Roman" w:hAnsi="Times New Roman"/>
        </w:rPr>
        <w:t xml:space="preserve"> en cada estudio</w:t>
      </w:r>
    </w:p>
    <w:p w14:paraId="3E97061E" w14:textId="13E67190" w:rsidR="00AC7575" w:rsidRPr="00367BEC" w:rsidRDefault="00AC7575" w:rsidP="00ED2C50">
      <w:pPr>
        <w:spacing w:after="0" w:line="360" w:lineRule="auto"/>
        <w:jc w:val="both"/>
        <w:rPr>
          <w:rFonts w:ascii="Times New Roman" w:hAnsi="Times New Roman" w:cs="Times New Roman"/>
          <w:bCs/>
        </w:rPr>
      </w:pPr>
      <w:r w:rsidRPr="00367BEC">
        <w:rPr>
          <w:rFonts w:ascii="Times New Roman" w:hAnsi="Times New Roman"/>
        </w:rPr>
        <w:t xml:space="preserve">Tabla 15. Riesgo de sesgo en cada estudio según la </w:t>
      </w:r>
      <w:r w:rsidR="0091535B" w:rsidRPr="00170D2E">
        <w:rPr>
          <w:rFonts w:ascii="Times New Roman" w:hAnsi="Times New Roman"/>
          <w:i/>
          <w:iCs/>
        </w:rPr>
        <w:t xml:space="preserve">NIH </w:t>
      </w:r>
      <w:proofErr w:type="spellStart"/>
      <w:r w:rsidR="0091535B" w:rsidRPr="00170D2E">
        <w:rPr>
          <w:rFonts w:ascii="Times New Roman" w:hAnsi="Times New Roman"/>
          <w:i/>
          <w:iCs/>
        </w:rPr>
        <w:t>Quality</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Assessment</w:t>
      </w:r>
      <w:proofErr w:type="spellEnd"/>
      <w:r w:rsidR="0091535B" w:rsidRPr="00170D2E">
        <w:rPr>
          <w:rFonts w:ascii="Times New Roman" w:hAnsi="Times New Roman"/>
          <w:i/>
          <w:iCs/>
        </w:rPr>
        <w:t xml:space="preserve"> Tool </w:t>
      </w:r>
      <w:proofErr w:type="spellStart"/>
      <w:r w:rsidR="0091535B" w:rsidRPr="00170D2E">
        <w:rPr>
          <w:rFonts w:ascii="Times New Roman" w:hAnsi="Times New Roman"/>
          <w:i/>
          <w:iCs/>
        </w:rPr>
        <w:t>for</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Observational</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Cohort</w:t>
      </w:r>
      <w:proofErr w:type="spellEnd"/>
      <w:r w:rsidR="0091535B" w:rsidRPr="00170D2E">
        <w:rPr>
          <w:rFonts w:ascii="Times New Roman" w:hAnsi="Times New Roman"/>
          <w:i/>
          <w:iCs/>
        </w:rPr>
        <w:t xml:space="preserve"> and Cross-</w:t>
      </w:r>
      <w:proofErr w:type="spellStart"/>
      <w:r w:rsidR="0091535B" w:rsidRPr="00170D2E">
        <w:rPr>
          <w:rFonts w:ascii="Times New Roman" w:hAnsi="Times New Roman"/>
          <w:i/>
          <w:iCs/>
        </w:rPr>
        <w:t>sectional</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Studies</w:t>
      </w:r>
      <w:proofErr w:type="spellEnd"/>
    </w:p>
    <w:p w14:paraId="474B447D" w14:textId="0A9F5EAF" w:rsidR="002E4D99" w:rsidRPr="00367BEC" w:rsidRDefault="002E7929" w:rsidP="00ED2C50">
      <w:pPr>
        <w:spacing w:after="0" w:line="360" w:lineRule="auto"/>
        <w:jc w:val="both"/>
        <w:rPr>
          <w:rFonts w:ascii="Times New Roman" w:hAnsi="Times New Roman" w:cs="Times New Roman"/>
        </w:rPr>
      </w:pPr>
      <w:r w:rsidRPr="00367BEC">
        <w:rPr>
          <w:rFonts w:ascii="Times New Roman" w:hAnsi="Times New Roman"/>
        </w:rPr>
        <w:t>Figura 1. Diagrama de flujo del proceso de selección de estudio</w:t>
      </w:r>
      <w:r w:rsidR="0091535B">
        <w:rPr>
          <w:rFonts w:ascii="Times New Roman" w:hAnsi="Times New Roman"/>
        </w:rPr>
        <w:t>s</w:t>
      </w:r>
    </w:p>
    <w:p w14:paraId="30A8C13A" w14:textId="77777777" w:rsidR="002E4D99" w:rsidRPr="00367BEC" w:rsidRDefault="002E4D99">
      <w:pPr>
        <w:rPr>
          <w:rFonts w:ascii="Times New Roman" w:hAnsi="Times New Roman" w:cs="Times New Roman"/>
        </w:rPr>
      </w:pPr>
      <w:r w:rsidRPr="00367BEC">
        <w:br w:type="page"/>
      </w:r>
    </w:p>
    <w:p w14:paraId="1D0418B1" w14:textId="77777777" w:rsidR="002E4D99" w:rsidRPr="00367BEC" w:rsidRDefault="002E4D99" w:rsidP="00ED2C50">
      <w:pPr>
        <w:spacing w:after="0" w:line="360" w:lineRule="auto"/>
        <w:jc w:val="both"/>
        <w:rPr>
          <w:rFonts w:ascii="Times New Roman" w:hAnsi="Times New Roman" w:cs="Times New Roman"/>
          <w:bCs/>
        </w:rPr>
        <w:sectPr w:rsidR="002E4D99" w:rsidRPr="00367BEC">
          <w:footerReference w:type="default" r:id="rId12"/>
          <w:pgSz w:w="11906" w:h="16838"/>
          <w:pgMar w:top="1417" w:right="1701" w:bottom="1417" w:left="1701" w:header="708" w:footer="708" w:gutter="0"/>
          <w:cols w:space="708"/>
          <w:docGrid w:linePitch="360"/>
        </w:sectPr>
      </w:pPr>
    </w:p>
    <w:p w14:paraId="2EAA4BB6" w14:textId="77777777" w:rsidR="002E4D99" w:rsidRPr="00367BEC" w:rsidRDefault="002E4D99" w:rsidP="002E4D99">
      <w:pPr>
        <w:spacing w:after="0" w:line="240" w:lineRule="auto"/>
        <w:jc w:val="both"/>
        <w:rPr>
          <w:rFonts w:ascii="Times New Roman" w:hAnsi="Times New Roman" w:cs="Times New Roman"/>
          <w:bCs/>
        </w:rPr>
      </w:pPr>
      <w:r w:rsidRPr="00367BEC">
        <w:rPr>
          <w:rFonts w:ascii="Times New Roman" w:hAnsi="Times New Roman"/>
          <w:b/>
        </w:rPr>
        <w:lastRenderedPageBreak/>
        <w:t xml:space="preserve">Tabla 1. </w:t>
      </w:r>
      <w:r w:rsidRPr="00367BEC">
        <w:rPr>
          <w:rFonts w:ascii="Times New Roman" w:hAnsi="Times New Roman"/>
        </w:rPr>
        <w:t>Características de los estudios y las muestras</w:t>
      </w:r>
    </w:p>
    <w:p w14:paraId="5627513E" w14:textId="77777777" w:rsidR="002E4D99" w:rsidRPr="00367BEC" w:rsidRDefault="002E4D99" w:rsidP="002E4D99">
      <w:pPr>
        <w:spacing w:after="0" w:line="240" w:lineRule="auto"/>
        <w:jc w:val="both"/>
        <w:rPr>
          <w:rFonts w:ascii="Times New Roman" w:hAnsi="Times New Roman" w:cs="Times New Roman"/>
          <w:bCs/>
          <w:sz w:val="24"/>
          <w:szCs w:val="24"/>
        </w:rPr>
      </w:pPr>
    </w:p>
    <w:tbl>
      <w:tblPr>
        <w:tblW w:w="14247" w:type="dxa"/>
        <w:tblLayout w:type="fixed"/>
        <w:tblCellMar>
          <w:left w:w="28" w:type="dxa"/>
          <w:right w:w="28" w:type="dxa"/>
        </w:tblCellMar>
        <w:tblLook w:val="04A0" w:firstRow="1" w:lastRow="0" w:firstColumn="1" w:lastColumn="0" w:noHBand="0" w:noVBand="1"/>
      </w:tblPr>
      <w:tblGrid>
        <w:gridCol w:w="1196"/>
        <w:gridCol w:w="676"/>
        <w:gridCol w:w="628"/>
        <w:gridCol w:w="703"/>
        <w:gridCol w:w="728"/>
        <w:gridCol w:w="400"/>
        <w:gridCol w:w="360"/>
        <w:gridCol w:w="543"/>
        <w:gridCol w:w="538"/>
        <w:gridCol w:w="1325"/>
        <w:gridCol w:w="871"/>
        <w:gridCol w:w="360"/>
        <w:gridCol w:w="872"/>
        <w:gridCol w:w="855"/>
        <w:gridCol w:w="360"/>
        <w:gridCol w:w="872"/>
        <w:gridCol w:w="1293"/>
        <w:gridCol w:w="380"/>
        <w:gridCol w:w="415"/>
        <w:gridCol w:w="872"/>
      </w:tblGrid>
      <w:tr w:rsidR="002E4D99" w:rsidRPr="00367BEC" w14:paraId="5BFFB977" w14:textId="77777777" w:rsidTr="00CF1C1E">
        <w:trPr>
          <w:trHeight w:val="283"/>
          <w:tblHeader/>
        </w:trPr>
        <w:tc>
          <w:tcPr>
            <w:tcW w:w="1196" w:type="dxa"/>
            <w:tcBorders>
              <w:top w:val="nil"/>
              <w:left w:val="nil"/>
              <w:bottom w:val="single" w:sz="8" w:space="0" w:color="auto"/>
              <w:right w:val="nil"/>
            </w:tcBorders>
            <w:shd w:val="clear" w:color="000000" w:fill="FFFFFF"/>
            <w:vAlign w:val="center"/>
            <w:hideMark/>
          </w:tcPr>
          <w:p w14:paraId="3D64A658"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Referencia</w:t>
            </w:r>
          </w:p>
        </w:tc>
        <w:tc>
          <w:tcPr>
            <w:tcW w:w="676" w:type="dxa"/>
            <w:tcBorders>
              <w:top w:val="nil"/>
              <w:left w:val="nil"/>
              <w:bottom w:val="single" w:sz="8" w:space="0" w:color="auto"/>
              <w:right w:val="nil"/>
            </w:tcBorders>
            <w:shd w:val="clear" w:color="000000" w:fill="FFFFFF"/>
            <w:vAlign w:val="center"/>
            <w:hideMark/>
          </w:tcPr>
          <w:p w14:paraId="594E4A3F"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País</w:t>
            </w:r>
          </w:p>
        </w:tc>
        <w:tc>
          <w:tcPr>
            <w:tcW w:w="628" w:type="dxa"/>
            <w:tcBorders>
              <w:top w:val="nil"/>
              <w:left w:val="nil"/>
              <w:bottom w:val="single" w:sz="8" w:space="0" w:color="auto"/>
              <w:right w:val="nil"/>
            </w:tcBorders>
            <w:shd w:val="clear" w:color="000000" w:fill="FFFFFF"/>
            <w:vAlign w:val="center"/>
            <w:hideMark/>
          </w:tcPr>
          <w:p w14:paraId="2B832948"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Diseño</w:t>
            </w:r>
          </w:p>
        </w:tc>
        <w:tc>
          <w:tcPr>
            <w:tcW w:w="703" w:type="dxa"/>
            <w:tcBorders>
              <w:top w:val="nil"/>
              <w:left w:val="nil"/>
              <w:bottom w:val="single" w:sz="8" w:space="0" w:color="auto"/>
              <w:right w:val="nil"/>
            </w:tcBorders>
            <w:shd w:val="clear" w:color="000000" w:fill="FFFFFF"/>
            <w:vAlign w:val="center"/>
            <w:hideMark/>
          </w:tcPr>
          <w:p w14:paraId="61D37330"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Duración</w:t>
            </w:r>
          </w:p>
        </w:tc>
        <w:tc>
          <w:tcPr>
            <w:tcW w:w="728" w:type="dxa"/>
            <w:tcBorders>
              <w:top w:val="nil"/>
              <w:left w:val="nil"/>
              <w:bottom w:val="single" w:sz="8" w:space="0" w:color="auto"/>
              <w:right w:val="nil"/>
            </w:tcBorders>
            <w:shd w:val="clear" w:color="000000" w:fill="FFFFFF"/>
            <w:vAlign w:val="center"/>
            <w:hideMark/>
          </w:tcPr>
          <w:p w14:paraId="07F6F5F2"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Cohorte</w:t>
            </w:r>
          </w:p>
        </w:tc>
        <w:tc>
          <w:tcPr>
            <w:tcW w:w="400" w:type="dxa"/>
            <w:tcBorders>
              <w:top w:val="nil"/>
              <w:left w:val="nil"/>
              <w:bottom w:val="single" w:sz="8" w:space="0" w:color="auto"/>
              <w:right w:val="nil"/>
            </w:tcBorders>
            <w:shd w:val="clear" w:color="000000" w:fill="FFFFFF"/>
            <w:vAlign w:val="center"/>
            <w:hideMark/>
          </w:tcPr>
          <w:p w14:paraId="284601E8"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w:t>
            </w:r>
          </w:p>
        </w:tc>
        <w:tc>
          <w:tcPr>
            <w:tcW w:w="903" w:type="dxa"/>
            <w:gridSpan w:val="2"/>
            <w:tcBorders>
              <w:top w:val="nil"/>
              <w:left w:val="nil"/>
              <w:bottom w:val="single" w:sz="8" w:space="0" w:color="auto"/>
              <w:right w:val="nil"/>
            </w:tcBorders>
            <w:shd w:val="clear" w:color="000000" w:fill="FFFFFF"/>
            <w:vAlign w:val="center"/>
            <w:hideMark/>
          </w:tcPr>
          <w:p w14:paraId="20C3F59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Edad (años)</w:t>
            </w:r>
          </w:p>
        </w:tc>
        <w:tc>
          <w:tcPr>
            <w:tcW w:w="538" w:type="dxa"/>
            <w:tcBorders>
              <w:top w:val="nil"/>
              <w:left w:val="nil"/>
              <w:bottom w:val="single" w:sz="8" w:space="0" w:color="auto"/>
              <w:right w:val="nil"/>
            </w:tcBorders>
            <w:shd w:val="clear" w:color="000000" w:fill="FFFFFF"/>
            <w:vAlign w:val="center"/>
            <w:hideMark/>
          </w:tcPr>
          <w:p w14:paraId="18B0EF82"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M (%)</w:t>
            </w:r>
          </w:p>
        </w:tc>
        <w:tc>
          <w:tcPr>
            <w:tcW w:w="1325" w:type="dxa"/>
            <w:tcBorders>
              <w:top w:val="nil"/>
              <w:left w:val="nil"/>
              <w:bottom w:val="single" w:sz="8" w:space="0" w:color="auto"/>
              <w:right w:val="nil"/>
            </w:tcBorders>
            <w:shd w:val="clear" w:color="000000" w:fill="FFFFFF"/>
            <w:vAlign w:val="center"/>
            <w:hideMark/>
          </w:tcPr>
          <w:p w14:paraId="56E0FF4E"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Tipo de dolor</w:t>
            </w:r>
          </w:p>
        </w:tc>
        <w:tc>
          <w:tcPr>
            <w:tcW w:w="871" w:type="dxa"/>
            <w:tcBorders>
              <w:top w:val="nil"/>
              <w:left w:val="nil"/>
              <w:bottom w:val="single" w:sz="8" w:space="0" w:color="auto"/>
              <w:right w:val="nil"/>
            </w:tcBorders>
            <w:shd w:val="clear" w:color="000000" w:fill="FFFFFF"/>
            <w:vAlign w:val="center"/>
            <w:hideMark/>
          </w:tcPr>
          <w:p w14:paraId="10AF2C3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Etiología</w:t>
            </w:r>
          </w:p>
        </w:tc>
        <w:tc>
          <w:tcPr>
            <w:tcW w:w="360" w:type="dxa"/>
            <w:tcBorders>
              <w:top w:val="nil"/>
              <w:left w:val="nil"/>
              <w:bottom w:val="single" w:sz="8" w:space="0" w:color="auto"/>
              <w:right w:val="nil"/>
            </w:tcBorders>
            <w:shd w:val="clear" w:color="000000" w:fill="FFFFFF"/>
            <w:vAlign w:val="center"/>
            <w:hideMark/>
          </w:tcPr>
          <w:p w14:paraId="2B3F8AB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w:t>
            </w:r>
          </w:p>
        </w:tc>
        <w:tc>
          <w:tcPr>
            <w:tcW w:w="872" w:type="dxa"/>
            <w:tcBorders>
              <w:top w:val="nil"/>
              <w:left w:val="nil"/>
              <w:bottom w:val="single" w:sz="8" w:space="0" w:color="auto"/>
              <w:right w:val="nil"/>
            </w:tcBorders>
            <w:shd w:val="clear" w:color="000000" w:fill="FFFFFF"/>
            <w:vAlign w:val="center"/>
            <w:hideMark/>
          </w:tcPr>
          <w:p w14:paraId="3FB8DDA1"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855" w:type="dxa"/>
            <w:tcBorders>
              <w:top w:val="nil"/>
              <w:left w:val="nil"/>
              <w:bottom w:val="single" w:sz="8" w:space="0" w:color="auto"/>
              <w:right w:val="nil"/>
            </w:tcBorders>
            <w:shd w:val="clear" w:color="000000" w:fill="FFFFFF"/>
            <w:vAlign w:val="center"/>
            <w:hideMark/>
          </w:tcPr>
          <w:p w14:paraId="321B32D8"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Cronicidad</w:t>
            </w:r>
          </w:p>
        </w:tc>
        <w:tc>
          <w:tcPr>
            <w:tcW w:w="360" w:type="dxa"/>
            <w:tcBorders>
              <w:top w:val="nil"/>
              <w:left w:val="nil"/>
              <w:bottom w:val="single" w:sz="8" w:space="0" w:color="auto"/>
              <w:right w:val="nil"/>
            </w:tcBorders>
            <w:shd w:val="clear" w:color="000000" w:fill="FFFFFF"/>
            <w:vAlign w:val="center"/>
            <w:hideMark/>
          </w:tcPr>
          <w:p w14:paraId="587A5BA3"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w:t>
            </w:r>
          </w:p>
        </w:tc>
        <w:tc>
          <w:tcPr>
            <w:tcW w:w="872" w:type="dxa"/>
            <w:tcBorders>
              <w:top w:val="nil"/>
              <w:left w:val="nil"/>
              <w:bottom w:val="single" w:sz="8" w:space="0" w:color="auto"/>
              <w:right w:val="nil"/>
            </w:tcBorders>
            <w:shd w:val="clear" w:color="000000" w:fill="FFFFFF"/>
            <w:vAlign w:val="center"/>
            <w:hideMark/>
          </w:tcPr>
          <w:p w14:paraId="691A6DE1"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1293" w:type="dxa"/>
            <w:tcBorders>
              <w:top w:val="nil"/>
              <w:left w:val="nil"/>
              <w:bottom w:val="single" w:sz="8" w:space="0" w:color="auto"/>
              <w:right w:val="nil"/>
            </w:tcBorders>
            <w:shd w:val="clear" w:color="000000" w:fill="FFFFFF"/>
            <w:vAlign w:val="center"/>
            <w:hideMark/>
          </w:tcPr>
          <w:p w14:paraId="35F63FA2"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Las enfermedades concomitantes</w:t>
            </w:r>
          </w:p>
        </w:tc>
        <w:tc>
          <w:tcPr>
            <w:tcW w:w="795" w:type="dxa"/>
            <w:gridSpan w:val="2"/>
            <w:tcBorders>
              <w:top w:val="nil"/>
              <w:left w:val="nil"/>
              <w:bottom w:val="single" w:sz="8" w:space="0" w:color="auto"/>
              <w:right w:val="nil"/>
            </w:tcBorders>
            <w:shd w:val="clear" w:color="000000" w:fill="FFFFFF"/>
            <w:vAlign w:val="center"/>
            <w:hideMark/>
          </w:tcPr>
          <w:p w14:paraId="42F3FD19"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 (≥10 %)</w:t>
            </w:r>
          </w:p>
        </w:tc>
        <w:tc>
          <w:tcPr>
            <w:tcW w:w="872" w:type="dxa"/>
            <w:tcBorders>
              <w:top w:val="nil"/>
              <w:left w:val="nil"/>
              <w:bottom w:val="single" w:sz="8" w:space="0" w:color="auto"/>
              <w:right w:val="nil"/>
            </w:tcBorders>
            <w:shd w:val="clear" w:color="000000" w:fill="FFFFFF"/>
            <w:vAlign w:val="center"/>
            <w:hideMark/>
          </w:tcPr>
          <w:p w14:paraId="25417A5B"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r>
      <w:tr w:rsidR="002E4D99" w:rsidRPr="00367BEC" w14:paraId="49E600E7" w14:textId="77777777" w:rsidTr="00CF1C1E">
        <w:trPr>
          <w:trHeight w:val="20"/>
        </w:trPr>
        <w:tc>
          <w:tcPr>
            <w:tcW w:w="1196" w:type="dxa"/>
            <w:tcBorders>
              <w:top w:val="nil"/>
              <w:left w:val="nil"/>
              <w:bottom w:val="nil"/>
              <w:right w:val="nil"/>
            </w:tcBorders>
            <w:shd w:val="clear" w:color="000000" w:fill="FFFFFF"/>
            <w:hideMark/>
          </w:tcPr>
          <w:p w14:paraId="7C7B04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Finco 2018</w:t>
            </w:r>
          </w:p>
        </w:tc>
        <w:tc>
          <w:tcPr>
            <w:tcW w:w="676" w:type="dxa"/>
            <w:tcBorders>
              <w:top w:val="nil"/>
              <w:left w:val="nil"/>
              <w:bottom w:val="nil"/>
              <w:right w:val="nil"/>
            </w:tcBorders>
            <w:shd w:val="clear" w:color="000000" w:fill="FFFFFF"/>
            <w:noWrap/>
            <w:hideMark/>
          </w:tcPr>
          <w:p w14:paraId="165D80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Italia</w:t>
            </w:r>
          </w:p>
        </w:tc>
        <w:tc>
          <w:tcPr>
            <w:tcW w:w="628" w:type="dxa"/>
            <w:tcBorders>
              <w:top w:val="nil"/>
              <w:left w:val="nil"/>
              <w:bottom w:val="nil"/>
              <w:right w:val="nil"/>
            </w:tcBorders>
            <w:shd w:val="clear" w:color="000000" w:fill="FFFFFF"/>
            <w:noWrap/>
            <w:hideMark/>
          </w:tcPr>
          <w:p w14:paraId="1C205C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nil"/>
              <w:left w:val="nil"/>
              <w:bottom w:val="nil"/>
              <w:right w:val="nil"/>
            </w:tcBorders>
            <w:shd w:val="clear" w:color="000000" w:fill="FFFFFF"/>
            <w:noWrap/>
            <w:hideMark/>
          </w:tcPr>
          <w:p w14:paraId="207D06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777B12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nil"/>
              <w:left w:val="nil"/>
              <w:bottom w:val="nil"/>
              <w:right w:val="nil"/>
            </w:tcBorders>
            <w:shd w:val="clear" w:color="000000" w:fill="FFFFFF"/>
            <w:noWrap/>
            <w:hideMark/>
          </w:tcPr>
          <w:p w14:paraId="4784C0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27</w:t>
            </w:r>
          </w:p>
        </w:tc>
        <w:tc>
          <w:tcPr>
            <w:tcW w:w="360" w:type="dxa"/>
            <w:tcBorders>
              <w:top w:val="nil"/>
              <w:left w:val="nil"/>
              <w:bottom w:val="nil"/>
              <w:right w:val="nil"/>
            </w:tcBorders>
            <w:shd w:val="clear" w:color="000000" w:fill="FFFFFF"/>
            <w:noWrap/>
            <w:hideMark/>
          </w:tcPr>
          <w:p w14:paraId="4AE2C7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68,8</w:t>
            </w:r>
          </w:p>
        </w:tc>
        <w:tc>
          <w:tcPr>
            <w:tcW w:w="543" w:type="dxa"/>
            <w:tcBorders>
              <w:top w:val="nil"/>
              <w:left w:val="nil"/>
              <w:bottom w:val="nil"/>
              <w:right w:val="nil"/>
            </w:tcBorders>
            <w:shd w:val="clear" w:color="000000" w:fill="FFFFFF"/>
            <w:hideMark/>
          </w:tcPr>
          <w:p w14:paraId="79117B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(11,8)</w:t>
            </w:r>
          </w:p>
        </w:tc>
        <w:tc>
          <w:tcPr>
            <w:tcW w:w="538" w:type="dxa"/>
            <w:tcBorders>
              <w:top w:val="nil"/>
              <w:left w:val="nil"/>
              <w:bottom w:val="nil"/>
              <w:right w:val="nil"/>
            </w:tcBorders>
            <w:shd w:val="clear" w:color="000000" w:fill="FFFFFF"/>
            <w:noWrap/>
            <w:hideMark/>
          </w:tcPr>
          <w:p w14:paraId="2EC73B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18,5</w:t>
            </w:r>
          </w:p>
        </w:tc>
        <w:tc>
          <w:tcPr>
            <w:tcW w:w="1325" w:type="dxa"/>
            <w:tcBorders>
              <w:top w:val="nil"/>
              <w:left w:val="nil"/>
              <w:bottom w:val="nil"/>
              <w:right w:val="nil"/>
            </w:tcBorders>
            <w:shd w:val="clear" w:color="000000" w:fill="FFFFFF"/>
            <w:noWrap/>
            <w:hideMark/>
          </w:tcPr>
          <w:p w14:paraId="2C35B6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ME/LUM</w:t>
            </w:r>
          </w:p>
        </w:tc>
        <w:tc>
          <w:tcPr>
            <w:tcW w:w="871" w:type="dxa"/>
            <w:tcBorders>
              <w:top w:val="nil"/>
              <w:left w:val="nil"/>
              <w:bottom w:val="nil"/>
              <w:right w:val="nil"/>
            </w:tcBorders>
            <w:shd w:val="clear" w:color="000000" w:fill="FFFFFF"/>
            <w:noWrap/>
            <w:hideMark/>
          </w:tcPr>
          <w:p w14:paraId="23A3D9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nil"/>
              <w:left w:val="nil"/>
              <w:bottom w:val="nil"/>
              <w:right w:val="nil"/>
            </w:tcBorders>
            <w:shd w:val="clear" w:color="000000" w:fill="FFFFFF"/>
            <w:noWrap/>
            <w:hideMark/>
          </w:tcPr>
          <w:p w14:paraId="5FDCBB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78,0</w:t>
            </w:r>
          </w:p>
        </w:tc>
        <w:tc>
          <w:tcPr>
            <w:tcW w:w="872" w:type="dxa"/>
            <w:tcBorders>
              <w:top w:val="nil"/>
              <w:left w:val="nil"/>
              <w:bottom w:val="nil"/>
              <w:right w:val="nil"/>
            </w:tcBorders>
            <w:shd w:val="clear" w:color="000000" w:fill="FFFFFF"/>
            <w:noWrap/>
            <w:hideMark/>
          </w:tcPr>
          <w:p w14:paraId="320F24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(21/27)</w:t>
            </w:r>
          </w:p>
        </w:tc>
        <w:tc>
          <w:tcPr>
            <w:tcW w:w="855" w:type="dxa"/>
            <w:tcBorders>
              <w:top w:val="nil"/>
              <w:left w:val="nil"/>
              <w:bottom w:val="nil"/>
              <w:right w:val="nil"/>
            </w:tcBorders>
            <w:shd w:val="clear" w:color="000000" w:fill="FFFFFF"/>
            <w:noWrap/>
            <w:hideMark/>
          </w:tcPr>
          <w:p w14:paraId="0A0995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CAA1F4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157F956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5A94693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nil"/>
              <w:left w:val="nil"/>
              <w:bottom w:val="nil"/>
              <w:right w:val="nil"/>
            </w:tcBorders>
            <w:shd w:val="clear" w:color="000000" w:fill="FFFFFF"/>
            <w:noWrap/>
            <w:hideMark/>
          </w:tcPr>
          <w:p w14:paraId="0A961F8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37,0</w:t>
            </w:r>
          </w:p>
        </w:tc>
        <w:tc>
          <w:tcPr>
            <w:tcW w:w="1287" w:type="dxa"/>
            <w:gridSpan w:val="2"/>
            <w:tcBorders>
              <w:top w:val="nil"/>
              <w:left w:val="nil"/>
              <w:bottom w:val="nil"/>
              <w:right w:val="nil"/>
            </w:tcBorders>
            <w:shd w:val="clear" w:color="000000" w:fill="FFFFFF"/>
            <w:noWrap/>
            <w:hideMark/>
          </w:tcPr>
          <w:p w14:paraId="3C454E9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(10/27)</w:t>
            </w:r>
          </w:p>
        </w:tc>
      </w:tr>
      <w:tr w:rsidR="002E4D99" w:rsidRPr="00367BEC" w14:paraId="300DA704" w14:textId="77777777" w:rsidTr="00CF1C1E">
        <w:trPr>
          <w:trHeight w:val="20"/>
        </w:trPr>
        <w:tc>
          <w:tcPr>
            <w:tcW w:w="1196" w:type="dxa"/>
            <w:tcBorders>
              <w:top w:val="nil"/>
              <w:left w:val="nil"/>
              <w:bottom w:val="nil"/>
              <w:right w:val="nil"/>
            </w:tcBorders>
            <w:shd w:val="clear" w:color="000000" w:fill="FFFFFF"/>
            <w:hideMark/>
          </w:tcPr>
          <w:p w14:paraId="17BD81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C152EB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33AE56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4231EC2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103CF9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0E4D7CB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4DB6ADC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7436A78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6FC6C5C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379D6EE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2DB5770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5A3335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0F5392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A9DFE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7A2D1E5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2FF145D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56124F4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Trastorno mental</w:t>
            </w:r>
          </w:p>
        </w:tc>
        <w:tc>
          <w:tcPr>
            <w:tcW w:w="380" w:type="dxa"/>
            <w:tcBorders>
              <w:top w:val="nil"/>
              <w:left w:val="nil"/>
              <w:bottom w:val="nil"/>
              <w:right w:val="nil"/>
            </w:tcBorders>
            <w:shd w:val="clear" w:color="000000" w:fill="FFFFFF"/>
            <w:noWrap/>
            <w:hideMark/>
          </w:tcPr>
          <w:p w14:paraId="177769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29,6</w:t>
            </w:r>
          </w:p>
        </w:tc>
        <w:tc>
          <w:tcPr>
            <w:tcW w:w="1287" w:type="dxa"/>
            <w:gridSpan w:val="2"/>
            <w:tcBorders>
              <w:top w:val="nil"/>
              <w:left w:val="nil"/>
              <w:bottom w:val="nil"/>
              <w:right w:val="nil"/>
            </w:tcBorders>
            <w:shd w:val="clear" w:color="000000" w:fill="FFFFFF"/>
            <w:noWrap/>
            <w:hideMark/>
          </w:tcPr>
          <w:p w14:paraId="5B0D80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(8/27)</w:t>
            </w:r>
          </w:p>
        </w:tc>
      </w:tr>
      <w:tr w:rsidR="002E4D99" w:rsidRPr="00367BEC" w14:paraId="56AD10A0" w14:textId="77777777" w:rsidTr="00CF1C1E">
        <w:trPr>
          <w:trHeight w:val="20"/>
        </w:trPr>
        <w:tc>
          <w:tcPr>
            <w:tcW w:w="1196" w:type="dxa"/>
            <w:tcBorders>
              <w:top w:val="nil"/>
              <w:left w:val="nil"/>
              <w:bottom w:val="nil"/>
              <w:right w:val="nil"/>
            </w:tcBorders>
            <w:shd w:val="clear" w:color="000000" w:fill="FFFFFF"/>
            <w:hideMark/>
          </w:tcPr>
          <w:p w14:paraId="16CD13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46688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C7E7C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1B8C0D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66DDB45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625B664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76FD6B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488CD5F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5DF83F8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17A970F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5A5E73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7489123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498D65D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08874B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1DF2969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7E88710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536506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DM II</w:t>
            </w:r>
          </w:p>
        </w:tc>
        <w:tc>
          <w:tcPr>
            <w:tcW w:w="380" w:type="dxa"/>
            <w:tcBorders>
              <w:top w:val="nil"/>
              <w:left w:val="nil"/>
              <w:bottom w:val="nil"/>
              <w:right w:val="nil"/>
            </w:tcBorders>
            <w:shd w:val="clear" w:color="000000" w:fill="FFFFFF"/>
            <w:noWrap/>
            <w:hideMark/>
          </w:tcPr>
          <w:p w14:paraId="65BC87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18,5</w:t>
            </w:r>
          </w:p>
        </w:tc>
        <w:tc>
          <w:tcPr>
            <w:tcW w:w="1287" w:type="dxa"/>
            <w:gridSpan w:val="2"/>
            <w:tcBorders>
              <w:top w:val="nil"/>
              <w:left w:val="nil"/>
              <w:bottom w:val="single" w:sz="8" w:space="0" w:color="auto"/>
              <w:right w:val="nil"/>
            </w:tcBorders>
            <w:shd w:val="clear" w:color="000000" w:fill="FFFFFF"/>
            <w:noWrap/>
            <w:hideMark/>
          </w:tcPr>
          <w:p w14:paraId="0C954CB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(5/27)</w:t>
            </w:r>
          </w:p>
        </w:tc>
      </w:tr>
      <w:tr w:rsidR="002E4D99" w:rsidRPr="00367BEC" w14:paraId="2612B195" w14:textId="77777777" w:rsidTr="00CF1C1E">
        <w:trPr>
          <w:trHeight w:val="20"/>
        </w:trPr>
        <w:tc>
          <w:tcPr>
            <w:tcW w:w="1196" w:type="dxa"/>
            <w:tcBorders>
              <w:top w:val="single" w:sz="8" w:space="0" w:color="auto"/>
              <w:left w:val="nil"/>
              <w:bottom w:val="nil"/>
              <w:right w:val="nil"/>
            </w:tcBorders>
            <w:shd w:val="clear" w:color="000000" w:fill="FFFFFF"/>
            <w:hideMark/>
          </w:tcPr>
          <w:p w14:paraId="4863A5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Billeci</w:t>
            </w:r>
            <w:proofErr w:type="spellEnd"/>
            <w:r w:rsidRPr="00367BEC">
              <w:rPr>
                <w:rFonts w:ascii="Times New Roman" w:hAnsi="Times New Roman"/>
                <w:color w:val="000000"/>
                <w:sz w:val="16"/>
              </w:rPr>
              <w:t xml:space="preserve"> 2017</w:t>
            </w:r>
          </w:p>
        </w:tc>
        <w:tc>
          <w:tcPr>
            <w:tcW w:w="676" w:type="dxa"/>
            <w:tcBorders>
              <w:top w:val="single" w:sz="8" w:space="0" w:color="auto"/>
              <w:left w:val="nil"/>
              <w:bottom w:val="nil"/>
              <w:right w:val="nil"/>
            </w:tcBorders>
            <w:shd w:val="clear" w:color="000000" w:fill="FFFFFF"/>
            <w:noWrap/>
            <w:hideMark/>
          </w:tcPr>
          <w:p w14:paraId="31D269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Italia</w:t>
            </w:r>
          </w:p>
        </w:tc>
        <w:tc>
          <w:tcPr>
            <w:tcW w:w="628" w:type="dxa"/>
            <w:tcBorders>
              <w:top w:val="single" w:sz="8" w:space="0" w:color="auto"/>
              <w:left w:val="nil"/>
              <w:bottom w:val="nil"/>
              <w:right w:val="nil"/>
            </w:tcBorders>
            <w:shd w:val="clear" w:color="000000" w:fill="FFFFFF"/>
            <w:noWrap/>
            <w:hideMark/>
          </w:tcPr>
          <w:p w14:paraId="702D548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single" w:sz="8" w:space="0" w:color="auto"/>
              <w:left w:val="nil"/>
              <w:bottom w:val="nil"/>
              <w:right w:val="nil"/>
            </w:tcBorders>
            <w:shd w:val="clear" w:color="000000" w:fill="FFFFFF"/>
            <w:noWrap/>
            <w:hideMark/>
          </w:tcPr>
          <w:p w14:paraId="160FFB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nil"/>
              <w:right w:val="nil"/>
            </w:tcBorders>
            <w:shd w:val="clear" w:color="000000" w:fill="FFFFFF"/>
            <w:noWrap/>
            <w:hideMark/>
          </w:tcPr>
          <w:p w14:paraId="7E37372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8" w:space="0" w:color="auto"/>
              <w:left w:val="nil"/>
              <w:bottom w:val="nil"/>
              <w:right w:val="nil"/>
            </w:tcBorders>
            <w:shd w:val="clear" w:color="000000" w:fill="FFFFFF"/>
            <w:noWrap/>
            <w:hideMark/>
          </w:tcPr>
          <w:p w14:paraId="274C819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54</w:t>
            </w:r>
          </w:p>
        </w:tc>
        <w:tc>
          <w:tcPr>
            <w:tcW w:w="360" w:type="dxa"/>
            <w:tcBorders>
              <w:top w:val="single" w:sz="8" w:space="0" w:color="auto"/>
              <w:left w:val="nil"/>
              <w:bottom w:val="nil"/>
              <w:right w:val="nil"/>
            </w:tcBorders>
            <w:shd w:val="clear" w:color="000000" w:fill="FFFFFF"/>
            <w:noWrap/>
            <w:hideMark/>
          </w:tcPr>
          <w:p w14:paraId="3D13E8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56,4</w:t>
            </w:r>
          </w:p>
        </w:tc>
        <w:tc>
          <w:tcPr>
            <w:tcW w:w="543" w:type="dxa"/>
            <w:tcBorders>
              <w:top w:val="single" w:sz="8" w:space="0" w:color="auto"/>
              <w:left w:val="nil"/>
              <w:bottom w:val="nil"/>
              <w:right w:val="nil"/>
            </w:tcBorders>
            <w:shd w:val="clear" w:color="000000" w:fill="FFFFFF"/>
            <w:hideMark/>
          </w:tcPr>
          <w:p w14:paraId="3FCB59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(12,1)</w:t>
            </w:r>
          </w:p>
        </w:tc>
        <w:tc>
          <w:tcPr>
            <w:tcW w:w="538" w:type="dxa"/>
            <w:tcBorders>
              <w:top w:val="single" w:sz="8" w:space="0" w:color="auto"/>
              <w:left w:val="nil"/>
              <w:bottom w:val="nil"/>
              <w:right w:val="nil"/>
            </w:tcBorders>
            <w:shd w:val="clear" w:color="000000" w:fill="FFFFFF"/>
            <w:noWrap/>
            <w:hideMark/>
          </w:tcPr>
          <w:p w14:paraId="772BFB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35,2</w:t>
            </w:r>
          </w:p>
        </w:tc>
        <w:tc>
          <w:tcPr>
            <w:tcW w:w="1325" w:type="dxa"/>
            <w:tcBorders>
              <w:top w:val="single" w:sz="8" w:space="0" w:color="auto"/>
              <w:left w:val="nil"/>
              <w:bottom w:val="nil"/>
              <w:right w:val="nil"/>
            </w:tcBorders>
            <w:shd w:val="clear" w:color="000000" w:fill="FFFFFF"/>
            <w:noWrap/>
            <w:hideMark/>
          </w:tcPr>
          <w:p w14:paraId="6D6B15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ME/DC</w:t>
            </w:r>
          </w:p>
        </w:tc>
        <w:tc>
          <w:tcPr>
            <w:tcW w:w="871" w:type="dxa"/>
            <w:tcBorders>
              <w:top w:val="single" w:sz="8" w:space="0" w:color="auto"/>
              <w:left w:val="nil"/>
              <w:bottom w:val="nil"/>
              <w:right w:val="nil"/>
            </w:tcBorders>
            <w:shd w:val="clear" w:color="000000" w:fill="FFFFFF"/>
            <w:noWrap/>
            <w:hideMark/>
          </w:tcPr>
          <w:p w14:paraId="40180D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nil"/>
              <w:right w:val="nil"/>
            </w:tcBorders>
            <w:shd w:val="clear" w:color="000000" w:fill="FFFFFF"/>
            <w:noWrap/>
            <w:hideMark/>
          </w:tcPr>
          <w:p w14:paraId="75C803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74,1</w:t>
            </w:r>
          </w:p>
        </w:tc>
        <w:tc>
          <w:tcPr>
            <w:tcW w:w="872" w:type="dxa"/>
            <w:tcBorders>
              <w:top w:val="single" w:sz="8" w:space="0" w:color="auto"/>
              <w:left w:val="nil"/>
              <w:bottom w:val="nil"/>
              <w:right w:val="nil"/>
            </w:tcBorders>
            <w:shd w:val="clear" w:color="000000" w:fill="FFFFFF"/>
            <w:noWrap/>
            <w:hideMark/>
          </w:tcPr>
          <w:p w14:paraId="154333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(40/54)</w:t>
            </w:r>
          </w:p>
        </w:tc>
        <w:tc>
          <w:tcPr>
            <w:tcW w:w="855" w:type="dxa"/>
            <w:tcBorders>
              <w:top w:val="single" w:sz="8" w:space="0" w:color="auto"/>
              <w:left w:val="nil"/>
              <w:bottom w:val="nil"/>
              <w:right w:val="nil"/>
            </w:tcBorders>
            <w:shd w:val="clear" w:color="000000" w:fill="FFFFFF"/>
            <w:noWrap/>
            <w:hideMark/>
          </w:tcPr>
          <w:p w14:paraId="4E134D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 m</w:t>
            </w:r>
          </w:p>
        </w:tc>
        <w:tc>
          <w:tcPr>
            <w:tcW w:w="360" w:type="dxa"/>
            <w:tcBorders>
              <w:top w:val="single" w:sz="8" w:space="0" w:color="auto"/>
              <w:left w:val="nil"/>
              <w:bottom w:val="nil"/>
              <w:right w:val="nil"/>
            </w:tcBorders>
            <w:shd w:val="clear" w:color="000000" w:fill="FFFFFF"/>
            <w:noWrap/>
            <w:hideMark/>
          </w:tcPr>
          <w:p w14:paraId="55840F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48,1</w:t>
            </w:r>
          </w:p>
        </w:tc>
        <w:tc>
          <w:tcPr>
            <w:tcW w:w="872" w:type="dxa"/>
            <w:tcBorders>
              <w:top w:val="single" w:sz="8" w:space="0" w:color="auto"/>
              <w:left w:val="nil"/>
              <w:bottom w:val="nil"/>
              <w:right w:val="nil"/>
            </w:tcBorders>
            <w:shd w:val="clear" w:color="000000" w:fill="FFFFFF"/>
            <w:noWrap/>
            <w:hideMark/>
          </w:tcPr>
          <w:p w14:paraId="464D303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(26/54)</w:t>
            </w:r>
          </w:p>
        </w:tc>
        <w:tc>
          <w:tcPr>
            <w:tcW w:w="1293" w:type="dxa"/>
            <w:tcBorders>
              <w:top w:val="single" w:sz="8" w:space="0" w:color="auto"/>
              <w:left w:val="nil"/>
              <w:bottom w:val="nil"/>
              <w:right w:val="nil"/>
            </w:tcBorders>
            <w:shd w:val="clear" w:color="000000" w:fill="FFFFFF"/>
            <w:noWrap/>
            <w:hideMark/>
          </w:tcPr>
          <w:p w14:paraId="1A4027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8" w:space="0" w:color="auto"/>
              <w:left w:val="nil"/>
              <w:bottom w:val="nil"/>
              <w:right w:val="nil"/>
            </w:tcBorders>
            <w:shd w:val="clear" w:color="000000" w:fill="FFFFFF"/>
            <w:noWrap/>
            <w:hideMark/>
          </w:tcPr>
          <w:p w14:paraId="2A26A22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2727346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2170705F" w14:textId="77777777" w:rsidTr="00CF1C1E">
        <w:trPr>
          <w:trHeight w:val="20"/>
        </w:trPr>
        <w:tc>
          <w:tcPr>
            <w:tcW w:w="1196" w:type="dxa"/>
            <w:tcBorders>
              <w:top w:val="nil"/>
              <w:left w:val="nil"/>
              <w:bottom w:val="single" w:sz="8" w:space="0" w:color="auto"/>
              <w:right w:val="nil"/>
            </w:tcBorders>
            <w:shd w:val="clear" w:color="000000" w:fill="FFFFFF"/>
            <w:hideMark/>
          </w:tcPr>
          <w:p w14:paraId="36336A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6D804A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6DBAF3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382E85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6BBF9F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315E581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0B67327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107E89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7725E7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799DE55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397562E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6760E9D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BF81C2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485DA4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&gt;6 m</w:t>
            </w:r>
          </w:p>
        </w:tc>
        <w:tc>
          <w:tcPr>
            <w:tcW w:w="360" w:type="dxa"/>
            <w:tcBorders>
              <w:top w:val="nil"/>
              <w:left w:val="nil"/>
              <w:bottom w:val="nil"/>
              <w:right w:val="nil"/>
            </w:tcBorders>
            <w:shd w:val="clear" w:color="000000" w:fill="FFFFFF"/>
            <w:noWrap/>
            <w:hideMark/>
          </w:tcPr>
          <w:p w14:paraId="4B8AAD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38,9</w:t>
            </w:r>
          </w:p>
        </w:tc>
        <w:tc>
          <w:tcPr>
            <w:tcW w:w="872" w:type="dxa"/>
            <w:tcBorders>
              <w:top w:val="nil"/>
              <w:left w:val="nil"/>
              <w:bottom w:val="nil"/>
              <w:right w:val="nil"/>
            </w:tcBorders>
            <w:shd w:val="clear" w:color="000000" w:fill="FFFFFF"/>
            <w:noWrap/>
            <w:hideMark/>
          </w:tcPr>
          <w:p w14:paraId="222220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(21/54)</w:t>
            </w:r>
          </w:p>
        </w:tc>
        <w:tc>
          <w:tcPr>
            <w:tcW w:w="1293" w:type="dxa"/>
            <w:tcBorders>
              <w:top w:val="nil"/>
              <w:left w:val="nil"/>
              <w:bottom w:val="nil"/>
              <w:right w:val="nil"/>
            </w:tcBorders>
            <w:shd w:val="clear" w:color="000000" w:fill="FFFFFF"/>
            <w:noWrap/>
            <w:hideMark/>
          </w:tcPr>
          <w:p w14:paraId="123C9B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3A3121A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09E4968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110EB868" w14:textId="77777777" w:rsidTr="00CF1C1E">
        <w:trPr>
          <w:trHeight w:val="20"/>
        </w:trPr>
        <w:tc>
          <w:tcPr>
            <w:tcW w:w="1196" w:type="dxa"/>
            <w:vMerge w:val="restart"/>
            <w:tcBorders>
              <w:top w:val="nil"/>
              <w:left w:val="nil"/>
              <w:right w:val="nil"/>
            </w:tcBorders>
            <w:shd w:val="clear" w:color="000000" w:fill="FFFFFF"/>
            <w:hideMark/>
          </w:tcPr>
          <w:p w14:paraId="7193BB7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Guillen 2017</w:t>
            </w:r>
          </w:p>
          <w:p w14:paraId="4B8C6F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658FC1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56FDDDD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6433E18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356119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single" w:sz="8" w:space="0" w:color="auto"/>
              <w:left w:val="nil"/>
              <w:bottom w:val="nil"/>
              <w:right w:val="nil"/>
            </w:tcBorders>
            <w:shd w:val="clear" w:color="000000" w:fill="FFFFFF"/>
            <w:noWrap/>
            <w:hideMark/>
          </w:tcPr>
          <w:p w14:paraId="690C880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España</w:t>
            </w:r>
          </w:p>
        </w:tc>
        <w:tc>
          <w:tcPr>
            <w:tcW w:w="628" w:type="dxa"/>
            <w:tcBorders>
              <w:top w:val="single" w:sz="8" w:space="0" w:color="auto"/>
              <w:left w:val="nil"/>
              <w:bottom w:val="nil"/>
              <w:right w:val="nil"/>
            </w:tcBorders>
            <w:shd w:val="clear" w:color="000000" w:fill="FFFFFF"/>
            <w:noWrap/>
            <w:hideMark/>
          </w:tcPr>
          <w:p w14:paraId="20CA89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O/R/C</w:t>
            </w:r>
          </w:p>
        </w:tc>
        <w:tc>
          <w:tcPr>
            <w:tcW w:w="703" w:type="dxa"/>
            <w:tcBorders>
              <w:top w:val="single" w:sz="8" w:space="0" w:color="auto"/>
              <w:left w:val="nil"/>
              <w:bottom w:val="nil"/>
              <w:right w:val="nil"/>
            </w:tcBorders>
            <w:shd w:val="clear" w:color="000000" w:fill="FFFFFF"/>
            <w:noWrap/>
            <w:hideMark/>
          </w:tcPr>
          <w:p w14:paraId="15170A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nil"/>
              <w:right w:val="nil"/>
            </w:tcBorders>
            <w:shd w:val="clear" w:color="000000" w:fill="FFFFFF"/>
            <w:noWrap/>
            <w:hideMark/>
          </w:tcPr>
          <w:p w14:paraId="2FFA7A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400" w:type="dxa"/>
            <w:tcBorders>
              <w:top w:val="single" w:sz="8" w:space="0" w:color="auto"/>
              <w:left w:val="nil"/>
              <w:bottom w:val="nil"/>
              <w:right w:val="nil"/>
            </w:tcBorders>
            <w:shd w:val="clear" w:color="000000" w:fill="FFFFFF"/>
            <w:noWrap/>
            <w:hideMark/>
          </w:tcPr>
          <w:p w14:paraId="373E8F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91</w:t>
            </w:r>
          </w:p>
        </w:tc>
        <w:tc>
          <w:tcPr>
            <w:tcW w:w="360" w:type="dxa"/>
            <w:tcBorders>
              <w:top w:val="single" w:sz="8" w:space="0" w:color="auto"/>
              <w:left w:val="nil"/>
              <w:bottom w:val="nil"/>
              <w:right w:val="nil"/>
            </w:tcBorders>
            <w:shd w:val="clear" w:color="000000" w:fill="FFFFFF"/>
            <w:noWrap/>
            <w:hideMark/>
          </w:tcPr>
          <w:p w14:paraId="761A09D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70,8</w:t>
            </w:r>
          </w:p>
        </w:tc>
        <w:tc>
          <w:tcPr>
            <w:tcW w:w="543" w:type="dxa"/>
            <w:tcBorders>
              <w:top w:val="single" w:sz="8" w:space="0" w:color="auto"/>
              <w:left w:val="nil"/>
              <w:bottom w:val="nil"/>
              <w:right w:val="nil"/>
            </w:tcBorders>
            <w:shd w:val="clear" w:color="000000" w:fill="FFFFFF"/>
            <w:hideMark/>
          </w:tcPr>
          <w:p w14:paraId="5FF7F6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(6,2)</w:t>
            </w:r>
            <w:r w:rsidRPr="00367BEC">
              <w:rPr>
                <w:rFonts w:ascii="Times New Roman" w:hAnsi="Times New Roman"/>
                <w:b/>
                <w:color w:val="000000"/>
                <w:sz w:val="16"/>
                <w:vertAlign w:val="superscript"/>
              </w:rPr>
              <w:t>II</w:t>
            </w:r>
          </w:p>
        </w:tc>
        <w:tc>
          <w:tcPr>
            <w:tcW w:w="538" w:type="dxa"/>
            <w:tcBorders>
              <w:top w:val="single" w:sz="8" w:space="0" w:color="auto"/>
              <w:left w:val="nil"/>
              <w:bottom w:val="nil"/>
              <w:right w:val="nil"/>
            </w:tcBorders>
            <w:shd w:val="clear" w:color="000000" w:fill="FFFFFF"/>
            <w:noWrap/>
            <w:hideMark/>
          </w:tcPr>
          <w:p w14:paraId="46AA7A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26,4</w:t>
            </w:r>
            <w:r w:rsidRPr="00367BEC">
              <w:rPr>
                <w:rFonts w:ascii="Times New Roman" w:hAnsi="Times New Roman"/>
                <w:b/>
                <w:color w:val="000000"/>
                <w:sz w:val="16"/>
                <w:vertAlign w:val="superscript"/>
              </w:rPr>
              <w:t>III</w:t>
            </w:r>
          </w:p>
        </w:tc>
        <w:tc>
          <w:tcPr>
            <w:tcW w:w="1325" w:type="dxa"/>
            <w:tcBorders>
              <w:top w:val="single" w:sz="8" w:space="0" w:color="auto"/>
              <w:left w:val="nil"/>
              <w:bottom w:val="nil"/>
              <w:right w:val="nil"/>
            </w:tcBorders>
            <w:shd w:val="clear" w:color="000000" w:fill="FFFFFF"/>
            <w:noWrap/>
            <w:hideMark/>
          </w:tcPr>
          <w:p w14:paraId="1533F0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ME/DOR</w:t>
            </w:r>
          </w:p>
        </w:tc>
        <w:tc>
          <w:tcPr>
            <w:tcW w:w="871" w:type="dxa"/>
            <w:tcBorders>
              <w:top w:val="single" w:sz="8" w:space="0" w:color="auto"/>
              <w:left w:val="nil"/>
              <w:bottom w:val="nil"/>
              <w:right w:val="nil"/>
            </w:tcBorders>
            <w:shd w:val="clear" w:color="000000" w:fill="FFFFFF"/>
            <w:noWrap/>
            <w:hideMark/>
          </w:tcPr>
          <w:p w14:paraId="048BA2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8" w:space="0" w:color="auto"/>
              <w:left w:val="nil"/>
              <w:bottom w:val="nil"/>
              <w:right w:val="nil"/>
            </w:tcBorders>
            <w:shd w:val="clear" w:color="000000" w:fill="FFFFFF"/>
            <w:noWrap/>
            <w:hideMark/>
          </w:tcPr>
          <w:p w14:paraId="7BDC07B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8" w:space="0" w:color="auto"/>
              <w:left w:val="nil"/>
              <w:bottom w:val="nil"/>
              <w:right w:val="nil"/>
            </w:tcBorders>
            <w:shd w:val="clear" w:color="000000" w:fill="FFFFFF"/>
            <w:noWrap/>
            <w:hideMark/>
          </w:tcPr>
          <w:p w14:paraId="4321574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single" w:sz="8" w:space="0" w:color="auto"/>
              <w:left w:val="nil"/>
              <w:bottom w:val="nil"/>
              <w:right w:val="nil"/>
            </w:tcBorders>
            <w:shd w:val="clear" w:color="000000" w:fill="FFFFFF"/>
            <w:noWrap/>
            <w:hideMark/>
          </w:tcPr>
          <w:p w14:paraId="711EA14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8" w:space="0" w:color="auto"/>
              <w:left w:val="nil"/>
              <w:bottom w:val="nil"/>
              <w:right w:val="nil"/>
            </w:tcBorders>
            <w:shd w:val="clear" w:color="000000" w:fill="FFFFFF"/>
            <w:noWrap/>
            <w:hideMark/>
          </w:tcPr>
          <w:p w14:paraId="3F1EE4A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8" w:space="0" w:color="auto"/>
              <w:left w:val="nil"/>
              <w:bottom w:val="nil"/>
              <w:right w:val="nil"/>
            </w:tcBorders>
            <w:shd w:val="clear" w:color="000000" w:fill="FFFFFF"/>
            <w:noWrap/>
            <w:hideMark/>
          </w:tcPr>
          <w:p w14:paraId="1F35F6C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single" w:sz="8" w:space="0" w:color="auto"/>
              <w:left w:val="nil"/>
              <w:bottom w:val="nil"/>
              <w:right w:val="nil"/>
            </w:tcBorders>
            <w:shd w:val="clear" w:color="000000" w:fill="FFFFFF"/>
            <w:noWrap/>
            <w:hideMark/>
          </w:tcPr>
          <w:p w14:paraId="744978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single" w:sz="8" w:space="0" w:color="auto"/>
              <w:left w:val="nil"/>
              <w:bottom w:val="nil"/>
              <w:right w:val="nil"/>
            </w:tcBorders>
            <w:shd w:val="clear" w:color="000000" w:fill="FFFFFF"/>
            <w:noWrap/>
            <w:hideMark/>
          </w:tcPr>
          <w:p w14:paraId="419AED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44,0</w:t>
            </w:r>
          </w:p>
        </w:tc>
        <w:tc>
          <w:tcPr>
            <w:tcW w:w="1287" w:type="dxa"/>
            <w:gridSpan w:val="2"/>
            <w:tcBorders>
              <w:top w:val="nil"/>
              <w:left w:val="nil"/>
              <w:bottom w:val="nil"/>
              <w:right w:val="nil"/>
            </w:tcBorders>
            <w:shd w:val="clear" w:color="000000" w:fill="FFFFFF"/>
            <w:noWrap/>
            <w:hideMark/>
          </w:tcPr>
          <w:p w14:paraId="6FA110C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(40/91)</w:t>
            </w:r>
            <w:r w:rsidRPr="00367BEC">
              <w:rPr>
                <w:rFonts w:ascii="Times New Roman" w:hAnsi="Times New Roman"/>
                <w:b/>
                <w:color w:val="000000"/>
                <w:sz w:val="16"/>
                <w:vertAlign w:val="superscript"/>
              </w:rPr>
              <w:t>I</w:t>
            </w:r>
          </w:p>
        </w:tc>
      </w:tr>
      <w:tr w:rsidR="002E4D99" w:rsidRPr="00367BEC" w14:paraId="622714B6" w14:textId="77777777" w:rsidTr="00CF1C1E">
        <w:trPr>
          <w:trHeight w:val="20"/>
        </w:trPr>
        <w:tc>
          <w:tcPr>
            <w:tcW w:w="1196" w:type="dxa"/>
            <w:vMerge/>
            <w:tcBorders>
              <w:left w:val="nil"/>
              <w:right w:val="nil"/>
            </w:tcBorders>
            <w:shd w:val="clear" w:color="000000" w:fill="FFFFFF"/>
            <w:hideMark/>
          </w:tcPr>
          <w:p w14:paraId="7CC5342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hideMark/>
          </w:tcPr>
          <w:p w14:paraId="346E12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DB7A0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88D24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29C6D8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4C6C73A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779E912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932A4A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46E3C30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2ABDE95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52AE7E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0B3266A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2798658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1C7C2F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632FAAC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36B8C17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68E376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DM</w:t>
            </w:r>
          </w:p>
        </w:tc>
        <w:tc>
          <w:tcPr>
            <w:tcW w:w="380" w:type="dxa"/>
            <w:tcBorders>
              <w:top w:val="nil"/>
              <w:left w:val="nil"/>
              <w:bottom w:val="nil"/>
              <w:right w:val="nil"/>
            </w:tcBorders>
            <w:shd w:val="clear" w:color="000000" w:fill="FFFFFF"/>
            <w:noWrap/>
            <w:hideMark/>
          </w:tcPr>
          <w:p w14:paraId="793E7A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12,1</w:t>
            </w:r>
          </w:p>
        </w:tc>
        <w:tc>
          <w:tcPr>
            <w:tcW w:w="1287" w:type="dxa"/>
            <w:gridSpan w:val="2"/>
            <w:tcBorders>
              <w:top w:val="nil"/>
              <w:left w:val="nil"/>
              <w:bottom w:val="nil"/>
              <w:right w:val="nil"/>
            </w:tcBorders>
            <w:shd w:val="clear" w:color="000000" w:fill="FFFFFF"/>
            <w:noWrap/>
            <w:hideMark/>
          </w:tcPr>
          <w:p w14:paraId="6CE9D8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(11/91)</w:t>
            </w:r>
          </w:p>
        </w:tc>
      </w:tr>
      <w:tr w:rsidR="002E4D99" w:rsidRPr="00367BEC" w14:paraId="69E15FE5" w14:textId="77777777" w:rsidTr="00CF1C1E">
        <w:trPr>
          <w:trHeight w:val="20"/>
        </w:trPr>
        <w:tc>
          <w:tcPr>
            <w:tcW w:w="1196" w:type="dxa"/>
            <w:vMerge/>
            <w:tcBorders>
              <w:left w:val="nil"/>
              <w:right w:val="nil"/>
            </w:tcBorders>
            <w:shd w:val="clear" w:color="000000" w:fill="FFFFFF"/>
            <w:hideMark/>
          </w:tcPr>
          <w:p w14:paraId="10526DB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hideMark/>
          </w:tcPr>
          <w:p w14:paraId="45472E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56DDAF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119051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right w:val="nil"/>
            </w:tcBorders>
            <w:shd w:val="clear" w:color="000000" w:fill="FFFFFF"/>
            <w:noWrap/>
            <w:hideMark/>
          </w:tcPr>
          <w:p w14:paraId="689CDA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right w:val="nil"/>
            </w:tcBorders>
            <w:shd w:val="clear" w:color="000000" w:fill="FFFFFF"/>
            <w:noWrap/>
            <w:hideMark/>
          </w:tcPr>
          <w:p w14:paraId="647E64A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right w:val="nil"/>
            </w:tcBorders>
            <w:shd w:val="clear" w:color="000000" w:fill="FFFFFF"/>
            <w:noWrap/>
            <w:hideMark/>
          </w:tcPr>
          <w:p w14:paraId="5FE86F4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right w:val="nil"/>
            </w:tcBorders>
            <w:shd w:val="clear" w:color="000000" w:fill="FFFFFF"/>
            <w:hideMark/>
          </w:tcPr>
          <w:p w14:paraId="7300CB8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right w:val="nil"/>
            </w:tcBorders>
            <w:shd w:val="clear" w:color="000000" w:fill="FFFFFF"/>
            <w:noWrap/>
            <w:hideMark/>
          </w:tcPr>
          <w:p w14:paraId="008C0B3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right w:val="nil"/>
            </w:tcBorders>
            <w:shd w:val="clear" w:color="000000" w:fill="FFFFFF"/>
            <w:noWrap/>
            <w:hideMark/>
          </w:tcPr>
          <w:p w14:paraId="1797713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right w:val="nil"/>
            </w:tcBorders>
            <w:shd w:val="clear" w:color="000000" w:fill="FFFFFF"/>
            <w:noWrap/>
            <w:hideMark/>
          </w:tcPr>
          <w:p w14:paraId="27DDEB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right w:val="nil"/>
            </w:tcBorders>
            <w:shd w:val="clear" w:color="000000" w:fill="FFFFFF"/>
            <w:noWrap/>
            <w:hideMark/>
          </w:tcPr>
          <w:p w14:paraId="07B3656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right w:val="nil"/>
            </w:tcBorders>
            <w:shd w:val="clear" w:color="000000" w:fill="FFFFFF"/>
            <w:noWrap/>
            <w:hideMark/>
          </w:tcPr>
          <w:p w14:paraId="0845CE6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right w:val="nil"/>
            </w:tcBorders>
            <w:shd w:val="clear" w:color="000000" w:fill="FFFFFF"/>
            <w:noWrap/>
            <w:hideMark/>
          </w:tcPr>
          <w:p w14:paraId="790B83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right w:val="nil"/>
            </w:tcBorders>
            <w:shd w:val="clear" w:color="000000" w:fill="FFFFFF"/>
            <w:noWrap/>
            <w:hideMark/>
          </w:tcPr>
          <w:p w14:paraId="49BB95B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right w:val="nil"/>
            </w:tcBorders>
            <w:shd w:val="clear" w:color="000000" w:fill="FFFFFF"/>
            <w:noWrap/>
            <w:hideMark/>
          </w:tcPr>
          <w:p w14:paraId="3C6B403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right w:val="nil"/>
            </w:tcBorders>
            <w:shd w:val="clear" w:color="000000" w:fill="FFFFFF"/>
            <w:noWrap/>
            <w:hideMark/>
          </w:tcPr>
          <w:p w14:paraId="798B09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Osteoporosis</w:t>
            </w:r>
          </w:p>
        </w:tc>
        <w:tc>
          <w:tcPr>
            <w:tcW w:w="380" w:type="dxa"/>
            <w:tcBorders>
              <w:top w:val="nil"/>
              <w:left w:val="nil"/>
              <w:right w:val="nil"/>
            </w:tcBorders>
            <w:shd w:val="clear" w:color="000000" w:fill="FFFFFF"/>
            <w:noWrap/>
            <w:hideMark/>
          </w:tcPr>
          <w:p w14:paraId="660A4B5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12,1</w:t>
            </w:r>
          </w:p>
        </w:tc>
        <w:tc>
          <w:tcPr>
            <w:tcW w:w="1287" w:type="dxa"/>
            <w:gridSpan w:val="2"/>
            <w:tcBorders>
              <w:top w:val="nil"/>
              <w:left w:val="nil"/>
              <w:right w:val="nil"/>
            </w:tcBorders>
            <w:shd w:val="clear" w:color="000000" w:fill="FFFFFF"/>
            <w:noWrap/>
            <w:hideMark/>
          </w:tcPr>
          <w:p w14:paraId="33F8C6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(11/91)</w:t>
            </w:r>
          </w:p>
        </w:tc>
      </w:tr>
      <w:tr w:rsidR="002E4D99" w:rsidRPr="00367BEC" w14:paraId="1C359C8B" w14:textId="77777777" w:rsidTr="00CF1C1E">
        <w:trPr>
          <w:trHeight w:val="20"/>
        </w:trPr>
        <w:tc>
          <w:tcPr>
            <w:tcW w:w="1196" w:type="dxa"/>
            <w:vMerge/>
            <w:tcBorders>
              <w:left w:val="nil"/>
              <w:right w:val="nil"/>
            </w:tcBorders>
            <w:shd w:val="clear" w:color="000000" w:fill="FFFFFF"/>
            <w:hideMark/>
          </w:tcPr>
          <w:p w14:paraId="0628D0A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hideMark/>
          </w:tcPr>
          <w:p w14:paraId="66D93ED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374C32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13F9F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4" w:space="0" w:color="D0CECE" w:themeColor="background2" w:themeShade="E6"/>
              <w:right w:val="nil"/>
            </w:tcBorders>
            <w:shd w:val="clear" w:color="000000" w:fill="FFFFFF"/>
            <w:noWrap/>
            <w:hideMark/>
          </w:tcPr>
          <w:p w14:paraId="00D447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4" w:space="0" w:color="D0CECE" w:themeColor="background2" w:themeShade="E6"/>
              <w:right w:val="nil"/>
            </w:tcBorders>
            <w:shd w:val="clear" w:color="000000" w:fill="FFFFFF"/>
            <w:noWrap/>
            <w:hideMark/>
          </w:tcPr>
          <w:p w14:paraId="6ACFB12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4" w:space="0" w:color="D0CECE" w:themeColor="background2" w:themeShade="E6"/>
              <w:right w:val="nil"/>
            </w:tcBorders>
            <w:shd w:val="clear" w:color="000000" w:fill="FFFFFF"/>
            <w:noWrap/>
            <w:hideMark/>
          </w:tcPr>
          <w:p w14:paraId="3CCD59E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4" w:space="0" w:color="D0CECE" w:themeColor="background2" w:themeShade="E6"/>
              <w:right w:val="nil"/>
            </w:tcBorders>
            <w:shd w:val="clear" w:color="000000" w:fill="FFFFFF"/>
            <w:hideMark/>
          </w:tcPr>
          <w:p w14:paraId="2CFE23B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4" w:space="0" w:color="D0CECE" w:themeColor="background2" w:themeShade="E6"/>
              <w:right w:val="nil"/>
            </w:tcBorders>
            <w:shd w:val="clear" w:color="000000" w:fill="FFFFFF"/>
            <w:noWrap/>
            <w:hideMark/>
          </w:tcPr>
          <w:p w14:paraId="2CAD23E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4" w:space="0" w:color="D0CECE" w:themeColor="background2" w:themeShade="E6"/>
              <w:right w:val="nil"/>
            </w:tcBorders>
            <w:shd w:val="clear" w:color="000000" w:fill="FFFFFF"/>
            <w:noWrap/>
            <w:hideMark/>
          </w:tcPr>
          <w:p w14:paraId="094761D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4" w:space="0" w:color="D0CECE" w:themeColor="background2" w:themeShade="E6"/>
              <w:right w:val="nil"/>
            </w:tcBorders>
            <w:shd w:val="clear" w:color="000000" w:fill="FFFFFF"/>
            <w:noWrap/>
            <w:hideMark/>
          </w:tcPr>
          <w:p w14:paraId="128201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4" w:space="0" w:color="D0CECE" w:themeColor="background2" w:themeShade="E6"/>
              <w:right w:val="nil"/>
            </w:tcBorders>
            <w:shd w:val="clear" w:color="000000" w:fill="FFFFFF"/>
            <w:noWrap/>
            <w:hideMark/>
          </w:tcPr>
          <w:p w14:paraId="209196A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4" w:space="0" w:color="D0CECE" w:themeColor="background2" w:themeShade="E6"/>
              <w:right w:val="nil"/>
            </w:tcBorders>
            <w:shd w:val="clear" w:color="000000" w:fill="FFFFFF"/>
            <w:noWrap/>
            <w:hideMark/>
          </w:tcPr>
          <w:p w14:paraId="0C4C5FA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single" w:sz="4" w:space="0" w:color="D0CECE" w:themeColor="background2" w:themeShade="E6"/>
              <w:right w:val="nil"/>
            </w:tcBorders>
            <w:shd w:val="clear" w:color="000000" w:fill="FFFFFF"/>
            <w:noWrap/>
            <w:hideMark/>
          </w:tcPr>
          <w:p w14:paraId="68FF4A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4" w:space="0" w:color="D0CECE" w:themeColor="background2" w:themeShade="E6"/>
              <w:right w:val="nil"/>
            </w:tcBorders>
            <w:shd w:val="clear" w:color="000000" w:fill="FFFFFF"/>
            <w:noWrap/>
            <w:hideMark/>
          </w:tcPr>
          <w:p w14:paraId="24E2F4C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4" w:space="0" w:color="D0CECE" w:themeColor="background2" w:themeShade="E6"/>
              <w:right w:val="nil"/>
            </w:tcBorders>
            <w:shd w:val="clear" w:color="000000" w:fill="FFFFFF"/>
            <w:noWrap/>
            <w:hideMark/>
          </w:tcPr>
          <w:p w14:paraId="31D6228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single" w:sz="4" w:space="0" w:color="D0CECE" w:themeColor="background2" w:themeShade="E6"/>
              <w:right w:val="nil"/>
            </w:tcBorders>
            <w:shd w:val="clear" w:color="000000" w:fill="FFFFFF"/>
            <w:noWrap/>
            <w:hideMark/>
          </w:tcPr>
          <w:p w14:paraId="7EF78E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FAV</w:t>
            </w:r>
          </w:p>
        </w:tc>
        <w:tc>
          <w:tcPr>
            <w:tcW w:w="380" w:type="dxa"/>
            <w:tcBorders>
              <w:top w:val="nil"/>
              <w:left w:val="nil"/>
              <w:bottom w:val="single" w:sz="4" w:space="0" w:color="D0CECE" w:themeColor="background2" w:themeShade="E6"/>
              <w:right w:val="nil"/>
            </w:tcBorders>
            <w:shd w:val="clear" w:color="000000" w:fill="FFFFFF"/>
            <w:noWrap/>
            <w:hideMark/>
          </w:tcPr>
          <w:p w14:paraId="7A310E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11,0</w:t>
            </w:r>
          </w:p>
        </w:tc>
        <w:tc>
          <w:tcPr>
            <w:tcW w:w="1287" w:type="dxa"/>
            <w:gridSpan w:val="2"/>
            <w:tcBorders>
              <w:top w:val="nil"/>
              <w:left w:val="nil"/>
              <w:bottom w:val="single" w:sz="4" w:space="0" w:color="D0CECE" w:themeColor="background2" w:themeShade="E6"/>
              <w:right w:val="nil"/>
            </w:tcBorders>
            <w:shd w:val="clear" w:color="000000" w:fill="FFFFFF"/>
            <w:noWrap/>
            <w:hideMark/>
          </w:tcPr>
          <w:p w14:paraId="470815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(10/91)</w:t>
            </w:r>
            <w:r w:rsidRPr="00367BEC">
              <w:rPr>
                <w:rFonts w:ascii="Times New Roman" w:hAnsi="Times New Roman"/>
                <w:b/>
                <w:color w:val="000000"/>
                <w:sz w:val="16"/>
                <w:vertAlign w:val="superscript"/>
              </w:rPr>
              <w:t>III</w:t>
            </w:r>
          </w:p>
        </w:tc>
      </w:tr>
      <w:tr w:rsidR="002E4D99" w:rsidRPr="00367BEC" w14:paraId="44434E47" w14:textId="77777777" w:rsidTr="00CF1C1E">
        <w:trPr>
          <w:trHeight w:val="20"/>
        </w:trPr>
        <w:tc>
          <w:tcPr>
            <w:tcW w:w="1196" w:type="dxa"/>
            <w:vMerge/>
            <w:tcBorders>
              <w:left w:val="nil"/>
              <w:right w:val="nil"/>
            </w:tcBorders>
            <w:shd w:val="clear" w:color="000000" w:fill="FFFFFF"/>
            <w:hideMark/>
          </w:tcPr>
          <w:p w14:paraId="4FC3478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hideMark/>
          </w:tcPr>
          <w:p w14:paraId="119BE7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250825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44A08C6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single" w:sz="4" w:space="0" w:color="D0CECE" w:themeColor="background2" w:themeShade="E6"/>
              <w:left w:val="nil"/>
              <w:bottom w:val="nil"/>
              <w:right w:val="nil"/>
            </w:tcBorders>
            <w:shd w:val="clear" w:color="000000" w:fill="FFFFFF"/>
            <w:hideMark/>
          </w:tcPr>
          <w:p w14:paraId="5E367F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TRA</w:t>
            </w:r>
            <w:r w:rsidRPr="00367BEC">
              <w:rPr>
                <w:rFonts w:ascii="Times New Roman" w:hAnsi="Times New Roman"/>
                <w:b/>
                <w:color w:val="000000"/>
                <w:sz w:val="20"/>
                <w:vertAlign w:val="superscript"/>
              </w:rPr>
              <w:t>a</w:t>
            </w:r>
            <w:proofErr w:type="spellEnd"/>
            <w:r w:rsidRPr="00367BEC">
              <w:rPr>
                <w:rFonts w:ascii="Times New Roman" w:hAnsi="Times New Roman"/>
                <w:color w:val="000000"/>
                <w:sz w:val="20"/>
              </w:rPr>
              <w:t xml:space="preserve"> </w:t>
            </w:r>
          </w:p>
        </w:tc>
        <w:tc>
          <w:tcPr>
            <w:tcW w:w="400" w:type="dxa"/>
            <w:tcBorders>
              <w:top w:val="single" w:sz="4" w:space="0" w:color="D0CECE" w:themeColor="background2" w:themeShade="E6"/>
              <w:left w:val="nil"/>
              <w:bottom w:val="nil"/>
              <w:right w:val="nil"/>
            </w:tcBorders>
            <w:shd w:val="clear" w:color="000000" w:fill="FFFFFF"/>
            <w:noWrap/>
            <w:hideMark/>
          </w:tcPr>
          <w:p w14:paraId="6BBE25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641</w:t>
            </w:r>
          </w:p>
        </w:tc>
        <w:tc>
          <w:tcPr>
            <w:tcW w:w="360" w:type="dxa"/>
            <w:tcBorders>
              <w:top w:val="single" w:sz="4" w:space="0" w:color="D0CECE" w:themeColor="background2" w:themeShade="E6"/>
              <w:left w:val="nil"/>
              <w:bottom w:val="nil"/>
              <w:right w:val="nil"/>
            </w:tcBorders>
            <w:shd w:val="clear" w:color="000000" w:fill="FFFFFF"/>
            <w:noWrap/>
            <w:hideMark/>
          </w:tcPr>
          <w:p w14:paraId="78A253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73,0</w:t>
            </w:r>
          </w:p>
        </w:tc>
        <w:tc>
          <w:tcPr>
            <w:tcW w:w="543" w:type="dxa"/>
            <w:tcBorders>
              <w:top w:val="single" w:sz="4" w:space="0" w:color="D0CECE" w:themeColor="background2" w:themeShade="E6"/>
              <w:left w:val="nil"/>
              <w:bottom w:val="nil"/>
              <w:right w:val="nil"/>
            </w:tcBorders>
            <w:shd w:val="clear" w:color="000000" w:fill="FFFFFF"/>
            <w:hideMark/>
          </w:tcPr>
          <w:p w14:paraId="067894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(6,7)</w:t>
            </w:r>
          </w:p>
        </w:tc>
        <w:tc>
          <w:tcPr>
            <w:tcW w:w="538" w:type="dxa"/>
            <w:tcBorders>
              <w:top w:val="single" w:sz="4" w:space="0" w:color="D0CECE" w:themeColor="background2" w:themeShade="E6"/>
              <w:left w:val="nil"/>
              <w:bottom w:val="nil"/>
              <w:right w:val="nil"/>
            </w:tcBorders>
            <w:shd w:val="clear" w:color="000000" w:fill="FFFFFF"/>
            <w:noWrap/>
            <w:hideMark/>
          </w:tcPr>
          <w:p w14:paraId="5AF5951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45,1</w:t>
            </w:r>
          </w:p>
        </w:tc>
        <w:tc>
          <w:tcPr>
            <w:tcW w:w="1325" w:type="dxa"/>
            <w:tcBorders>
              <w:top w:val="single" w:sz="4" w:space="0" w:color="D0CECE" w:themeColor="background2" w:themeShade="E6"/>
              <w:left w:val="nil"/>
              <w:bottom w:val="nil"/>
              <w:right w:val="nil"/>
            </w:tcBorders>
            <w:shd w:val="clear" w:color="000000" w:fill="FFFFFF"/>
            <w:noWrap/>
            <w:hideMark/>
          </w:tcPr>
          <w:p w14:paraId="1A64B8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ME/DOR</w:t>
            </w:r>
          </w:p>
        </w:tc>
        <w:tc>
          <w:tcPr>
            <w:tcW w:w="871" w:type="dxa"/>
            <w:tcBorders>
              <w:top w:val="single" w:sz="4" w:space="0" w:color="D0CECE" w:themeColor="background2" w:themeShade="E6"/>
              <w:left w:val="nil"/>
              <w:bottom w:val="nil"/>
              <w:right w:val="nil"/>
            </w:tcBorders>
            <w:shd w:val="clear" w:color="000000" w:fill="FFFFFF"/>
            <w:noWrap/>
            <w:hideMark/>
          </w:tcPr>
          <w:p w14:paraId="2519BF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4" w:space="0" w:color="D0CECE" w:themeColor="background2" w:themeShade="E6"/>
              <w:left w:val="nil"/>
              <w:bottom w:val="nil"/>
              <w:right w:val="nil"/>
            </w:tcBorders>
            <w:shd w:val="clear" w:color="000000" w:fill="FFFFFF"/>
            <w:noWrap/>
            <w:hideMark/>
          </w:tcPr>
          <w:p w14:paraId="67E2681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4" w:space="0" w:color="D0CECE" w:themeColor="background2" w:themeShade="E6"/>
              <w:left w:val="nil"/>
              <w:bottom w:val="nil"/>
              <w:right w:val="nil"/>
            </w:tcBorders>
            <w:shd w:val="clear" w:color="000000" w:fill="FFFFFF"/>
            <w:noWrap/>
            <w:hideMark/>
          </w:tcPr>
          <w:p w14:paraId="73BFF5E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single" w:sz="4" w:space="0" w:color="D0CECE" w:themeColor="background2" w:themeShade="E6"/>
              <w:left w:val="nil"/>
              <w:bottom w:val="nil"/>
              <w:right w:val="nil"/>
            </w:tcBorders>
            <w:shd w:val="clear" w:color="000000" w:fill="FFFFFF"/>
            <w:noWrap/>
            <w:hideMark/>
          </w:tcPr>
          <w:p w14:paraId="264A481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4" w:space="0" w:color="D0CECE" w:themeColor="background2" w:themeShade="E6"/>
              <w:left w:val="nil"/>
              <w:bottom w:val="nil"/>
              <w:right w:val="nil"/>
            </w:tcBorders>
            <w:shd w:val="clear" w:color="000000" w:fill="FFFFFF"/>
            <w:noWrap/>
            <w:hideMark/>
          </w:tcPr>
          <w:p w14:paraId="0ABC367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4" w:space="0" w:color="D0CECE" w:themeColor="background2" w:themeShade="E6"/>
              <w:left w:val="nil"/>
              <w:bottom w:val="nil"/>
              <w:right w:val="nil"/>
            </w:tcBorders>
            <w:shd w:val="clear" w:color="000000" w:fill="FFFFFF"/>
            <w:noWrap/>
            <w:hideMark/>
          </w:tcPr>
          <w:p w14:paraId="7181DE6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single" w:sz="4" w:space="0" w:color="D0CECE" w:themeColor="background2" w:themeShade="E6"/>
              <w:left w:val="nil"/>
              <w:bottom w:val="nil"/>
              <w:right w:val="nil"/>
            </w:tcBorders>
            <w:shd w:val="clear" w:color="000000" w:fill="FFFFFF"/>
            <w:noWrap/>
            <w:hideMark/>
          </w:tcPr>
          <w:p w14:paraId="1E3DDC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single" w:sz="4" w:space="0" w:color="D0CECE" w:themeColor="background2" w:themeShade="E6"/>
              <w:left w:val="nil"/>
              <w:bottom w:val="nil"/>
              <w:right w:val="nil"/>
            </w:tcBorders>
            <w:shd w:val="clear" w:color="000000" w:fill="FFFFFF"/>
            <w:noWrap/>
            <w:hideMark/>
          </w:tcPr>
          <w:p w14:paraId="463669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55,4</w:t>
            </w:r>
          </w:p>
        </w:tc>
        <w:tc>
          <w:tcPr>
            <w:tcW w:w="1287" w:type="dxa"/>
            <w:gridSpan w:val="2"/>
            <w:tcBorders>
              <w:top w:val="single" w:sz="4" w:space="0" w:color="D0CECE" w:themeColor="background2" w:themeShade="E6"/>
              <w:left w:val="nil"/>
              <w:right w:val="nil"/>
            </w:tcBorders>
            <w:shd w:val="clear" w:color="000000" w:fill="FFFFFF"/>
            <w:noWrap/>
            <w:hideMark/>
          </w:tcPr>
          <w:p w14:paraId="307CF1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(355/641)</w:t>
            </w:r>
          </w:p>
        </w:tc>
      </w:tr>
      <w:tr w:rsidR="002E4D99" w:rsidRPr="00367BEC" w14:paraId="64C34823" w14:textId="77777777" w:rsidTr="00CF1C1E">
        <w:trPr>
          <w:trHeight w:val="20"/>
        </w:trPr>
        <w:tc>
          <w:tcPr>
            <w:tcW w:w="1196" w:type="dxa"/>
            <w:vMerge/>
            <w:tcBorders>
              <w:left w:val="nil"/>
              <w:bottom w:val="nil"/>
              <w:right w:val="nil"/>
            </w:tcBorders>
            <w:shd w:val="clear" w:color="000000" w:fill="FFFFFF"/>
            <w:hideMark/>
          </w:tcPr>
          <w:p w14:paraId="651ED20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hideMark/>
          </w:tcPr>
          <w:p w14:paraId="6A6D623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15EA15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661598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right w:val="nil"/>
            </w:tcBorders>
            <w:shd w:val="clear" w:color="000000" w:fill="FFFFFF"/>
            <w:hideMark/>
          </w:tcPr>
          <w:p w14:paraId="7FB399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2809687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0BF8CC1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2BA265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1A5D698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0CA5B03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4B66F2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76C002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154F688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226A0D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598F681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6D99739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32F3CF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DM</w:t>
            </w:r>
          </w:p>
        </w:tc>
        <w:tc>
          <w:tcPr>
            <w:tcW w:w="380" w:type="dxa"/>
            <w:tcBorders>
              <w:top w:val="nil"/>
              <w:left w:val="nil"/>
              <w:bottom w:val="nil"/>
              <w:right w:val="nil"/>
            </w:tcBorders>
            <w:shd w:val="clear" w:color="000000" w:fill="FFFFFF"/>
            <w:noWrap/>
            <w:hideMark/>
          </w:tcPr>
          <w:p w14:paraId="4E60E1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14,4</w:t>
            </w:r>
          </w:p>
        </w:tc>
        <w:tc>
          <w:tcPr>
            <w:tcW w:w="1287" w:type="dxa"/>
            <w:gridSpan w:val="2"/>
            <w:tcBorders>
              <w:top w:val="nil"/>
              <w:left w:val="nil"/>
              <w:right w:val="nil"/>
            </w:tcBorders>
            <w:shd w:val="clear" w:color="000000" w:fill="FFFFFF"/>
            <w:noWrap/>
            <w:hideMark/>
          </w:tcPr>
          <w:p w14:paraId="75A562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(92/641)</w:t>
            </w:r>
          </w:p>
        </w:tc>
      </w:tr>
      <w:tr w:rsidR="002E4D99" w:rsidRPr="00367BEC" w14:paraId="1356676D" w14:textId="77777777" w:rsidTr="00CF1C1E">
        <w:trPr>
          <w:trHeight w:val="20"/>
        </w:trPr>
        <w:tc>
          <w:tcPr>
            <w:tcW w:w="1196" w:type="dxa"/>
            <w:tcBorders>
              <w:left w:val="nil"/>
              <w:bottom w:val="nil"/>
              <w:right w:val="nil"/>
            </w:tcBorders>
            <w:shd w:val="clear" w:color="000000" w:fill="FFFFFF"/>
          </w:tcPr>
          <w:p w14:paraId="32B3637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tcPr>
          <w:p w14:paraId="26FBDCF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28" w:type="dxa"/>
            <w:tcBorders>
              <w:top w:val="nil"/>
              <w:left w:val="nil"/>
              <w:bottom w:val="nil"/>
              <w:right w:val="nil"/>
            </w:tcBorders>
            <w:shd w:val="clear" w:color="000000" w:fill="FFFFFF"/>
            <w:noWrap/>
          </w:tcPr>
          <w:p w14:paraId="2759D36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703" w:type="dxa"/>
            <w:tcBorders>
              <w:top w:val="nil"/>
              <w:left w:val="nil"/>
              <w:bottom w:val="nil"/>
              <w:right w:val="nil"/>
            </w:tcBorders>
            <w:shd w:val="clear" w:color="000000" w:fill="FFFFFF"/>
            <w:noWrap/>
          </w:tcPr>
          <w:p w14:paraId="3C106CD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728" w:type="dxa"/>
            <w:tcBorders>
              <w:left w:val="nil"/>
              <w:bottom w:val="single" w:sz="8" w:space="0" w:color="000000"/>
              <w:right w:val="nil"/>
            </w:tcBorders>
            <w:shd w:val="clear" w:color="000000" w:fill="FFFFFF"/>
          </w:tcPr>
          <w:p w14:paraId="5D2D2E9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nil"/>
              <w:right w:val="nil"/>
            </w:tcBorders>
            <w:shd w:val="clear" w:color="000000" w:fill="FFFFFF"/>
            <w:noWrap/>
          </w:tcPr>
          <w:p w14:paraId="2960CAD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tcPr>
          <w:p w14:paraId="01537E1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tcPr>
          <w:p w14:paraId="7B19113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tcPr>
          <w:p w14:paraId="0BB67B8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tcPr>
          <w:p w14:paraId="72AD6B2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tcPr>
          <w:p w14:paraId="01F51FE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tcPr>
          <w:p w14:paraId="33D574E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tcPr>
          <w:p w14:paraId="1EF36EA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tcPr>
          <w:p w14:paraId="7BE9FE1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tcPr>
          <w:p w14:paraId="5AC5ECB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tcPr>
          <w:p w14:paraId="7616BDA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tcPr>
          <w:p w14:paraId="6177CBE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FAV</w:t>
            </w:r>
          </w:p>
        </w:tc>
        <w:tc>
          <w:tcPr>
            <w:tcW w:w="380" w:type="dxa"/>
            <w:tcBorders>
              <w:top w:val="nil"/>
              <w:left w:val="nil"/>
              <w:bottom w:val="nil"/>
              <w:right w:val="nil"/>
            </w:tcBorders>
            <w:shd w:val="clear" w:color="000000" w:fill="FFFFFF"/>
            <w:noWrap/>
          </w:tcPr>
          <w:p w14:paraId="4BD7058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w:t>
            </w:r>
          </w:p>
        </w:tc>
        <w:tc>
          <w:tcPr>
            <w:tcW w:w="1287" w:type="dxa"/>
            <w:gridSpan w:val="2"/>
            <w:tcBorders>
              <w:left w:val="nil"/>
              <w:bottom w:val="single" w:sz="8" w:space="0" w:color="auto"/>
              <w:right w:val="nil"/>
            </w:tcBorders>
            <w:shd w:val="clear" w:color="000000" w:fill="FFFFFF"/>
            <w:noWrap/>
          </w:tcPr>
          <w:p w14:paraId="12FD1D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(19/641)</w:t>
            </w:r>
          </w:p>
        </w:tc>
      </w:tr>
      <w:tr w:rsidR="002E4D99" w:rsidRPr="00367BEC" w14:paraId="24D264ED" w14:textId="77777777" w:rsidTr="00CF1C1E">
        <w:trPr>
          <w:trHeight w:val="20"/>
        </w:trPr>
        <w:tc>
          <w:tcPr>
            <w:tcW w:w="1196" w:type="dxa"/>
            <w:tcBorders>
              <w:top w:val="single" w:sz="8" w:space="0" w:color="auto"/>
              <w:left w:val="nil"/>
              <w:bottom w:val="nil"/>
              <w:right w:val="nil"/>
            </w:tcBorders>
            <w:shd w:val="clear" w:color="000000" w:fill="FFFFFF"/>
            <w:hideMark/>
          </w:tcPr>
          <w:p w14:paraId="74CA8D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Passavanti</w:t>
            </w:r>
            <w:proofErr w:type="spellEnd"/>
            <w:r w:rsidRPr="00367BEC">
              <w:rPr>
                <w:rFonts w:ascii="Times New Roman" w:hAnsi="Times New Roman"/>
                <w:color w:val="000000"/>
                <w:sz w:val="16"/>
              </w:rPr>
              <w:t xml:space="preserve"> 2017</w:t>
            </w:r>
          </w:p>
        </w:tc>
        <w:tc>
          <w:tcPr>
            <w:tcW w:w="676" w:type="dxa"/>
            <w:tcBorders>
              <w:top w:val="single" w:sz="8" w:space="0" w:color="auto"/>
              <w:left w:val="nil"/>
              <w:bottom w:val="nil"/>
              <w:right w:val="nil"/>
            </w:tcBorders>
            <w:shd w:val="clear" w:color="000000" w:fill="FFFFFF"/>
            <w:noWrap/>
            <w:hideMark/>
          </w:tcPr>
          <w:p w14:paraId="1991038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Italia</w:t>
            </w:r>
          </w:p>
        </w:tc>
        <w:tc>
          <w:tcPr>
            <w:tcW w:w="628" w:type="dxa"/>
            <w:tcBorders>
              <w:top w:val="single" w:sz="8" w:space="0" w:color="auto"/>
              <w:left w:val="nil"/>
              <w:bottom w:val="nil"/>
              <w:right w:val="nil"/>
            </w:tcBorders>
            <w:shd w:val="clear" w:color="000000" w:fill="FFFFFF"/>
            <w:noWrap/>
            <w:hideMark/>
          </w:tcPr>
          <w:p w14:paraId="6B4074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O/P/R/C</w:t>
            </w:r>
          </w:p>
        </w:tc>
        <w:tc>
          <w:tcPr>
            <w:tcW w:w="703" w:type="dxa"/>
            <w:tcBorders>
              <w:top w:val="single" w:sz="8" w:space="0" w:color="auto"/>
              <w:left w:val="nil"/>
              <w:bottom w:val="nil"/>
              <w:right w:val="nil"/>
            </w:tcBorders>
            <w:shd w:val="clear" w:color="000000" w:fill="FFFFFF"/>
            <w:noWrap/>
            <w:hideMark/>
          </w:tcPr>
          <w:p w14:paraId="22C08B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24 </w:t>
            </w:r>
            <w:proofErr w:type="spellStart"/>
            <w:r w:rsidRPr="00367BEC">
              <w:rPr>
                <w:rFonts w:ascii="Times New Roman" w:hAnsi="Times New Roman"/>
                <w:color w:val="000000"/>
                <w:sz w:val="16"/>
              </w:rPr>
              <w:t>sem</w:t>
            </w:r>
            <w:proofErr w:type="spellEnd"/>
          </w:p>
        </w:tc>
        <w:tc>
          <w:tcPr>
            <w:tcW w:w="728" w:type="dxa"/>
            <w:tcBorders>
              <w:top w:val="nil"/>
              <w:left w:val="nil"/>
              <w:bottom w:val="nil"/>
              <w:right w:val="nil"/>
            </w:tcBorders>
            <w:shd w:val="clear" w:color="000000" w:fill="FFFFFF"/>
            <w:noWrap/>
            <w:hideMark/>
          </w:tcPr>
          <w:p w14:paraId="4FAF47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400" w:type="dxa"/>
            <w:tcBorders>
              <w:top w:val="single" w:sz="8" w:space="0" w:color="auto"/>
              <w:left w:val="nil"/>
              <w:bottom w:val="nil"/>
              <w:right w:val="nil"/>
            </w:tcBorders>
            <w:shd w:val="clear" w:color="000000" w:fill="FFFFFF"/>
            <w:noWrap/>
            <w:hideMark/>
          </w:tcPr>
          <w:p w14:paraId="1248766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w:t>
            </w:r>
          </w:p>
        </w:tc>
        <w:tc>
          <w:tcPr>
            <w:tcW w:w="360" w:type="dxa"/>
            <w:tcBorders>
              <w:top w:val="single" w:sz="8" w:space="0" w:color="auto"/>
              <w:left w:val="nil"/>
              <w:bottom w:val="nil"/>
              <w:right w:val="nil"/>
            </w:tcBorders>
            <w:shd w:val="clear" w:color="000000" w:fill="FFFFFF"/>
            <w:noWrap/>
            <w:hideMark/>
          </w:tcPr>
          <w:p w14:paraId="00F26C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64,1</w:t>
            </w:r>
          </w:p>
        </w:tc>
        <w:tc>
          <w:tcPr>
            <w:tcW w:w="543" w:type="dxa"/>
            <w:tcBorders>
              <w:top w:val="single" w:sz="8" w:space="0" w:color="auto"/>
              <w:left w:val="nil"/>
              <w:bottom w:val="nil"/>
              <w:right w:val="nil"/>
            </w:tcBorders>
            <w:shd w:val="clear" w:color="000000" w:fill="FFFFFF"/>
            <w:hideMark/>
          </w:tcPr>
          <w:p w14:paraId="6F4062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w:t>
            </w:r>
          </w:p>
        </w:tc>
        <w:tc>
          <w:tcPr>
            <w:tcW w:w="538" w:type="dxa"/>
            <w:tcBorders>
              <w:top w:val="single" w:sz="8" w:space="0" w:color="auto"/>
              <w:left w:val="nil"/>
              <w:bottom w:val="nil"/>
              <w:right w:val="nil"/>
            </w:tcBorders>
            <w:shd w:val="clear" w:color="000000" w:fill="FFFFFF"/>
            <w:noWrap/>
            <w:hideMark/>
          </w:tcPr>
          <w:p w14:paraId="141625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20,0</w:t>
            </w:r>
          </w:p>
        </w:tc>
        <w:tc>
          <w:tcPr>
            <w:tcW w:w="1325" w:type="dxa"/>
            <w:tcBorders>
              <w:top w:val="single" w:sz="8" w:space="0" w:color="auto"/>
              <w:left w:val="nil"/>
              <w:bottom w:val="nil"/>
              <w:right w:val="nil"/>
            </w:tcBorders>
            <w:shd w:val="clear" w:color="000000" w:fill="FFFFFF"/>
            <w:noWrap/>
            <w:hideMark/>
          </w:tcPr>
          <w:p w14:paraId="30BA82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ME/LUM</w:t>
            </w:r>
          </w:p>
        </w:tc>
        <w:tc>
          <w:tcPr>
            <w:tcW w:w="871" w:type="dxa"/>
            <w:tcBorders>
              <w:top w:val="single" w:sz="8" w:space="0" w:color="auto"/>
              <w:left w:val="nil"/>
              <w:bottom w:val="nil"/>
              <w:right w:val="nil"/>
            </w:tcBorders>
            <w:shd w:val="clear" w:color="000000" w:fill="FFFFFF"/>
            <w:noWrap/>
            <w:hideMark/>
          </w:tcPr>
          <w:p w14:paraId="7E31A8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nil"/>
              <w:right w:val="nil"/>
            </w:tcBorders>
            <w:shd w:val="clear" w:color="000000" w:fill="FFFFFF"/>
            <w:noWrap/>
            <w:hideMark/>
          </w:tcPr>
          <w:p w14:paraId="52231D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872" w:type="dxa"/>
            <w:tcBorders>
              <w:top w:val="single" w:sz="8" w:space="0" w:color="auto"/>
              <w:left w:val="nil"/>
              <w:bottom w:val="nil"/>
              <w:right w:val="nil"/>
            </w:tcBorders>
            <w:shd w:val="clear" w:color="000000" w:fill="FFFFFF"/>
            <w:noWrap/>
            <w:hideMark/>
          </w:tcPr>
          <w:p w14:paraId="28210C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(25/25)</w:t>
            </w:r>
          </w:p>
        </w:tc>
        <w:tc>
          <w:tcPr>
            <w:tcW w:w="855" w:type="dxa"/>
            <w:tcBorders>
              <w:top w:val="single" w:sz="8" w:space="0" w:color="auto"/>
              <w:left w:val="nil"/>
              <w:bottom w:val="nil"/>
              <w:right w:val="nil"/>
            </w:tcBorders>
            <w:shd w:val="clear" w:color="000000" w:fill="FFFFFF"/>
            <w:noWrap/>
            <w:hideMark/>
          </w:tcPr>
          <w:p w14:paraId="16ED17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 m</w:t>
            </w:r>
          </w:p>
        </w:tc>
        <w:tc>
          <w:tcPr>
            <w:tcW w:w="360" w:type="dxa"/>
            <w:tcBorders>
              <w:top w:val="single" w:sz="8" w:space="0" w:color="auto"/>
              <w:left w:val="nil"/>
              <w:bottom w:val="nil"/>
              <w:right w:val="nil"/>
            </w:tcBorders>
            <w:shd w:val="clear" w:color="000000" w:fill="FFFFFF"/>
            <w:noWrap/>
            <w:hideMark/>
          </w:tcPr>
          <w:p w14:paraId="20A5EC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872" w:type="dxa"/>
            <w:tcBorders>
              <w:top w:val="single" w:sz="8" w:space="0" w:color="auto"/>
              <w:left w:val="nil"/>
              <w:bottom w:val="nil"/>
              <w:right w:val="nil"/>
            </w:tcBorders>
            <w:shd w:val="clear" w:color="000000" w:fill="FFFFFF"/>
            <w:noWrap/>
            <w:hideMark/>
          </w:tcPr>
          <w:p w14:paraId="187780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(25/25)</w:t>
            </w:r>
          </w:p>
        </w:tc>
        <w:tc>
          <w:tcPr>
            <w:tcW w:w="1293" w:type="dxa"/>
            <w:tcBorders>
              <w:top w:val="single" w:sz="8" w:space="0" w:color="auto"/>
              <w:left w:val="nil"/>
              <w:bottom w:val="nil"/>
              <w:right w:val="nil"/>
            </w:tcBorders>
            <w:shd w:val="clear" w:color="000000" w:fill="FFFFFF"/>
            <w:noWrap/>
            <w:hideMark/>
          </w:tcPr>
          <w:p w14:paraId="3B80DC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DM II</w:t>
            </w:r>
          </w:p>
        </w:tc>
        <w:tc>
          <w:tcPr>
            <w:tcW w:w="380" w:type="dxa"/>
            <w:tcBorders>
              <w:top w:val="single" w:sz="8" w:space="0" w:color="auto"/>
              <w:left w:val="nil"/>
              <w:bottom w:val="nil"/>
              <w:right w:val="nil"/>
            </w:tcBorders>
            <w:shd w:val="clear" w:color="000000" w:fill="FFFFFF"/>
            <w:noWrap/>
            <w:hideMark/>
          </w:tcPr>
          <w:p w14:paraId="59873B7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40,0</w:t>
            </w:r>
          </w:p>
        </w:tc>
        <w:tc>
          <w:tcPr>
            <w:tcW w:w="1287" w:type="dxa"/>
            <w:gridSpan w:val="2"/>
            <w:tcBorders>
              <w:top w:val="nil"/>
              <w:left w:val="nil"/>
              <w:bottom w:val="nil"/>
              <w:right w:val="nil"/>
            </w:tcBorders>
            <w:shd w:val="clear" w:color="000000" w:fill="FFFFFF"/>
            <w:noWrap/>
            <w:hideMark/>
          </w:tcPr>
          <w:p w14:paraId="3400FC0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10</w:t>
            </w:r>
            <w:r w:rsidRPr="00367BEC">
              <w:rPr>
                <w:rFonts w:ascii="Times New Roman" w:hAnsi="Times New Roman"/>
                <w:color w:val="000000"/>
                <w:sz w:val="16"/>
              </w:rPr>
              <w:t>/25)</w:t>
            </w:r>
          </w:p>
        </w:tc>
      </w:tr>
      <w:tr w:rsidR="002E4D99" w:rsidRPr="00367BEC" w14:paraId="134F1B59" w14:textId="77777777" w:rsidTr="00CF1C1E">
        <w:trPr>
          <w:trHeight w:val="20"/>
        </w:trPr>
        <w:tc>
          <w:tcPr>
            <w:tcW w:w="1196" w:type="dxa"/>
            <w:tcBorders>
              <w:top w:val="nil"/>
              <w:left w:val="nil"/>
              <w:bottom w:val="nil"/>
              <w:right w:val="nil"/>
            </w:tcBorders>
            <w:shd w:val="clear" w:color="000000" w:fill="FFFFFF"/>
            <w:hideMark/>
          </w:tcPr>
          <w:p w14:paraId="3676A8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0130A5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425927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715B5C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58EADD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453A540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9B59EC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779A02A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6A6494E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2FB0A89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2740D1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7CA450E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46C1A82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0E5CDD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1BA5735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35474ED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0BA84D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nil"/>
              <w:left w:val="nil"/>
              <w:bottom w:val="nil"/>
              <w:right w:val="nil"/>
            </w:tcBorders>
            <w:shd w:val="clear" w:color="000000" w:fill="FFFFFF"/>
            <w:noWrap/>
            <w:hideMark/>
          </w:tcPr>
          <w:p w14:paraId="52AC0E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28,0</w:t>
            </w:r>
          </w:p>
        </w:tc>
        <w:tc>
          <w:tcPr>
            <w:tcW w:w="1287" w:type="dxa"/>
            <w:gridSpan w:val="2"/>
            <w:tcBorders>
              <w:top w:val="nil"/>
              <w:left w:val="nil"/>
              <w:bottom w:val="nil"/>
              <w:right w:val="nil"/>
            </w:tcBorders>
            <w:shd w:val="clear" w:color="000000" w:fill="FFFFFF"/>
            <w:noWrap/>
            <w:hideMark/>
          </w:tcPr>
          <w:p w14:paraId="2DB4FCB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7</w:t>
            </w:r>
            <w:r w:rsidRPr="00367BEC">
              <w:rPr>
                <w:rFonts w:ascii="Times New Roman" w:hAnsi="Times New Roman"/>
                <w:color w:val="000000"/>
                <w:sz w:val="16"/>
              </w:rPr>
              <w:t>/25)</w:t>
            </w:r>
          </w:p>
        </w:tc>
      </w:tr>
      <w:tr w:rsidR="002E4D99" w:rsidRPr="00367BEC" w14:paraId="1F801928" w14:textId="77777777" w:rsidTr="00CF1C1E">
        <w:trPr>
          <w:trHeight w:val="20"/>
        </w:trPr>
        <w:tc>
          <w:tcPr>
            <w:tcW w:w="1196" w:type="dxa"/>
            <w:tcBorders>
              <w:top w:val="nil"/>
              <w:left w:val="nil"/>
              <w:bottom w:val="nil"/>
              <w:right w:val="nil"/>
            </w:tcBorders>
            <w:shd w:val="clear" w:color="000000" w:fill="FFFFFF"/>
            <w:hideMark/>
          </w:tcPr>
          <w:p w14:paraId="5CD8E1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074720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4EAD58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6B17968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02F7A9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722A391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58DC35E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30D42C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EC78DE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489CC1C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40C37CF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69DB8A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BC14C2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11939F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676A470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733460F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3B77BF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CI</w:t>
            </w:r>
          </w:p>
        </w:tc>
        <w:tc>
          <w:tcPr>
            <w:tcW w:w="380" w:type="dxa"/>
            <w:tcBorders>
              <w:top w:val="nil"/>
              <w:left w:val="nil"/>
              <w:bottom w:val="nil"/>
              <w:right w:val="nil"/>
            </w:tcBorders>
            <w:shd w:val="clear" w:color="000000" w:fill="FFFFFF"/>
            <w:noWrap/>
            <w:hideMark/>
          </w:tcPr>
          <w:p w14:paraId="7BF152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20,0</w:t>
            </w:r>
          </w:p>
        </w:tc>
        <w:tc>
          <w:tcPr>
            <w:tcW w:w="1287" w:type="dxa"/>
            <w:gridSpan w:val="2"/>
            <w:tcBorders>
              <w:top w:val="nil"/>
              <w:left w:val="nil"/>
              <w:bottom w:val="nil"/>
              <w:right w:val="nil"/>
            </w:tcBorders>
            <w:shd w:val="clear" w:color="000000" w:fill="FFFFFF"/>
            <w:noWrap/>
            <w:hideMark/>
          </w:tcPr>
          <w:p w14:paraId="73FF2D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w:t>
            </w:r>
            <w:r w:rsidRPr="00367BEC">
              <w:rPr>
                <w:rFonts w:ascii="Times New Roman" w:hAnsi="Times New Roman"/>
                <w:color w:val="000000"/>
                <w:sz w:val="16"/>
              </w:rPr>
              <w:t>/25)</w:t>
            </w:r>
          </w:p>
        </w:tc>
      </w:tr>
      <w:tr w:rsidR="002E4D99" w:rsidRPr="00367BEC" w14:paraId="4B5EA865" w14:textId="77777777" w:rsidTr="00CF1C1E">
        <w:trPr>
          <w:trHeight w:val="20"/>
        </w:trPr>
        <w:tc>
          <w:tcPr>
            <w:tcW w:w="1196" w:type="dxa"/>
            <w:tcBorders>
              <w:top w:val="nil"/>
              <w:left w:val="nil"/>
              <w:bottom w:val="nil"/>
              <w:right w:val="nil"/>
            </w:tcBorders>
            <w:shd w:val="clear" w:color="000000" w:fill="FFFFFF"/>
            <w:hideMark/>
          </w:tcPr>
          <w:p w14:paraId="1051CEC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2D775B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570F4C1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0E643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1CC113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361DD82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31F9330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40269AC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240BE5C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777C0E2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6D38448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2AA2F8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75EE66A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5E5AE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676057B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76111CE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098FCB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Dislipidemia</w:t>
            </w:r>
          </w:p>
        </w:tc>
        <w:tc>
          <w:tcPr>
            <w:tcW w:w="380" w:type="dxa"/>
            <w:tcBorders>
              <w:top w:val="nil"/>
              <w:left w:val="nil"/>
              <w:bottom w:val="nil"/>
              <w:right w:val="nil"/>
            </w:tcBorders>
            <w:shd w:val="clear" w:color="000000" w:fill="FFFFFF"/>
            <w:noWrap/>
            <w:hideMark/>
          </w:tcPr>
          <w:p w14:paraId="6C7BDC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12,0</w:t>
            </w:r>
          </w:p>
        </w:tc>
        <w:tc>
          <w:tcPr>
            <w:tcW w:w="1287" w:type="dxa"/>
            <w:gridSpan w:val="2"/>
            <w:tcBorders>
              <w:top w:val="nil"/>
              <w:left w:val="nil"/>
              <w:bottom w:val="nil"/>
              <w:right w:val="nil"/>
            </w:tcBorders>
            <w:shd w:val="clear" w:color="000000" w:fill="FFFFFF"/>
            <w:noWrap/>
            <w:hideMark/>
          </w:tcPr>
          <w:p w14:paraId="66D66E9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w:t>
            </w:r>
            <w:r w:rsidRPr="00367BEC">
              <w:rPr>
                <w:rFonts w:ascii="Times New Roman" w:hAnsi="Times New Roman"/>
                <w:color w:val="000000"/>
                <w:sz w:val="16"/>
              </w:rPr>
              <w:t>/25)</w:t>
            </w:r>
          </w:p>
        </w:tc>
      </w:tr>
      <w:tr w:rsidR="002E4D99" w:rsidRPr="00367BEC" w14:paraId="262B2A8B" w14:textId="77777777" w:rsidTr="00CF1C1E">
        <w:trPr>
          <w:trHeight w:val="20"/>
        </w:trPr>
        <w:tc>
          <w:tcPr>
            <w:tcW w:w="1196" w:type="dxa"/>
            <w:tcBorders>
              <w:top w:val="nil"/>
              <w:left w:val="nil"/>
              <w:bottom w:val="nil"/>
              <w:right w:val="nil"/>
            </w:tcBorders>
            <w:shd w:val="clear" w:color="000000" w:fill="FFFFFF"/>
            <w:hideMark/>
          </w:tcPr>
          <w:p w14:paraId="096F14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056C2BC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21D8CA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14E0AD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0A5B3C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69302C2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781B5A1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4C5D0B5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2888C56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2208B34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42D204C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0E0F292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76AAA09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0ADFE8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AF4899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224F985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6293E8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Obesidad mórbida</w:t>
            </w:r>
          </w:p>
        </w:tc>
        <w:tc>
          <w:tcPr>
            <w:tcW w:w="380" w:type="dxa"/>
            <w:tcBorders>
              <w:top w:val="nil"/>
              <w:left w:val="nil"/>
              <w:bottom w:val="nil"/>
              <w:right w:val="nil"/>
            </w:tcBorders>
            <w:shd w:val="clear" w:color="000000" w:fill="FFFFFF"/>
            <w:noWrap/>
            <w:hideMark/>
          </w:tcPr>
          <w:p w14:paraId="5F454E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16,0</w:t>
            </w:r>
          </w:p>
        </w:tc>
        <w:tc>
          <w:tcPr>
            <w:tcW w:w="1287" w:type="dxa"/>
            <w:gridSpan w:val="2"/>
            <w:tcBorders>
              <w:top w:val="nil"/>
              <w:left w:val="nil"/>
              <w:bottom w:val="nil"/>
              <w:right w:val="nil"/>
            </w:tcBorders>
            <w:shd w:val="clear" w:color="000000" w:fill="FFFFFF"/>
            <w:noWrap/>
            <w:hideMark/>
          </w:tcPr>
          <w:p w14:paraId="00D929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4</w:t>
            </w:r>
            <w:r w:rsidRPr="00367BEC">
              <w:rPr>
                <w:rFonts w:ascii="Times New Roman" w:hAnsi="Times New Roman"/>
                <w:color w:val="000000"/>
                <w:sz w:val="16"/>
              </w:rPr>
              <w:t>/25)</w:t>
            </w:r>
          </w:p>
        </w:tc>
      </w:tr>
      <w:tr w:rsidR="002E4D99" w:rsidRPr="00367BEC" w14:paraId="1A93066F" w14:textId="77777777" w:rsidTr="00CF1C1E">
        <w:trPr>
          <w:trHeight w:val="20"/>
        </w:trPr>
        <w:tc>
          <w:tcPr>
            <w:tcW w:w="1196" w:type="dxa"/>
            <w:tcBorders>
              <w:top w:val="nil"/>
              <w:left w:val="nil"/>
              <w:bottom w:val="nil"/>
              <w:right w:val="nil"/>
            </w:tcBorders>
            <w:shd w:val="clear" w:color="000000" w:fill="FFFFFF"/>
            <w:hideMark/>
          </w:tcPr>
          <w:p w14:paraId="610BD3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DAEE2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5941A92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4702FC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right w:val="nil"/>
            </w:tcBorders>
            <w:shd w:val="clear" w:color="000000" w:fill="FFFFFF"/>
            <w:noWrap/>
            <w:hideMark/>
          </w:tcPr>
          <w:p w14:paraId="589CE7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right w:val="nil"/>
            </w:tcBorders>
            <w:shd w:val="clear" w:color="000000" w:fill="FFFFFF"/>
            <w:noWrap/>
            <w:hideMark/>
          </w:tcPr>
          <w:p w14:paraId="165DAA2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right w:val="nil"/>
            </w:tcBorders>
            <w:shd w:val="clear" w:color="000000" w:fill="FFFFFF"/>
            <w:noWrap/>
            <w:hideMark/>
          </w:tcPr>
          <w:p w14:paraId="225556D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right w:val="nil"/>
            </w:tcBorders>
            <w:shd w:val="clear" w:color="000000" w:fill="FFFFFF"/>
            <w:hideMark/>
          </w:tcPr>
          <w:p w14:paraId="3EF214B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right w:val="nil"/>
            </w:tcBorders>
            <w:shd w:val="clear" w:color="000000" w:fill="FFFFFF"/>
            <w:noWrap/>
            <w:hideMark/>
          </w:tcPr>
          <w:p w14:paraId="681134F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right w:val="nil"/>
            </w:tcBorders>
            <w:shd w:val="clear" w:color="000000" w:fill="FFFFFF"/>
            <w:noWrap/>
            <w:hideMark/>
          </w:tcPr>
          <w:p w14:paraId="772A30C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right w:val="nil"/>
            </w:tcBorders>
            <w:shd w:val="clear" w:color="000000" w:fill="FFFFFF"/>
            <w:noWrap/>
            <w:hideMark/>
          </w:tcPr>
          <w:p w14:paraId="289D8FC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right w:val="nil"/>
            </w:tcBorders>
            <w:shd w:val="clear" w:color="000000" w:fill="FFFFFF"/>
            <w:noWrap/>
            <w:hideMark/>
          </w:tcPr>
          <w:p w14:paraId="3FA2286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right w:val="nil"/>
            </w:tcBorders>
            <w:shd w:val="clear" w:color="000000" w:fill="FFFFFF"/>
            <w:noWrap/>
            <w:hideMark/>
          </w:tcPr>
          <w:p w14:paraId="4AF4C01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right w:val="nil"/>
            </w:tcBorders>
            <w:shd w:val="clear" w:color="000000" w:fill="FFFFFF"/>
            <w:noWrap/>
            <w:hideMark/>
          </w:tcPr>
          <w:p w14:paraId="2A7A60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right w:val="nil"/>
            </w:tcBorders>
            <w:shd w:val="clear" w:color="000000" w:fill="FFFFFF"/>
            <w:noWrap/>
            <w:hideMark/>
          </w:tcPr>
          <w:p w14:paraId="33CBDAB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right w:val="nil"/>
            </w:tcBorders>
            <w:shd w:val="clear" w:color="000000" w:fill="FFFFFF"/>
            <w:noWrap/>
            <w:hideMark/>
          </w:tcPr>
          <w:p w14:paraId="2E93237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right w:val="nil"/>
            </w:tcBorders>
            <w:shd w:val="clear" w:color="000000" w:fill="FFFFFF"/>
            <w:noWrap/>
            <w:hideMark/>
          </w:tcPr>
          <w:p w14:paraId="5DC40C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EPOC</w:t>
            </w:r>
          </w:p>
        </w:tc>
        <w:tc>
          <w:tcPr>
            <w:tcW w:w="380" w:type="dxa"/>
            <w:tcBorders>
              <w:top w:val="nil"/>
              <w:left w:val="nil"/>
              <w:right w:val="nil"/>
            </w:tcBorders>
            <w:shd w:val="clear" w:color="000000" w:fill="FFFFFF"/>
            <w:noWrap/>
            <w:hideMark/>
          </w:tcPr>
          <w:p w14:paraId="45104D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36,0</w:t>
            </w:r>
          </w:p>
        </w:tc>
        <w:tc>
          <w:tcPr>
            <w:tcW w:w="1287" w:type="dxa"/>
            <w:gridSpan w:val="2"/>
            <w:tcBorders>
              <w:top w:val="nil"/>
              <w:left w:val="nil"/>
              <w:right w:val="nil"/>
            </w:tcBorders>
            <w:shd w:val="clear" w:color="000000" w:fill="FFFFFF"/>
            <w:noWrap/>
            <w:hideMark/>
          </w:tcPr>
          <w:p w14:paraId="1D7B345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w:t>
            </w:r>
            <w:r w:rsidRPr="00367BEC">
              <w:rPr>
                <w:rFonts w:ascii="Times New Roman" w:hAnsi="Times New Roman"/>
                <w:color w:val="000000"/>
                <w:sz w:val="16"/>
              </w:rPr>
              <w:t>/25)</w:t>
            </w:r>
          </w:p>
        </w:tc>
      </w:tr>
      <w:tr w:rsidR="002E4D99" w:rsidRPr="00367BEC" w14:paraId="093605E2" w14:textId="77777777" w:rsidTr="00CF1C1E">
        <w:trPr>
          <w:trHeight w:val="20"/>
        </w:trPr>
        <w:tc>
          <w:tcPr>
            <w:tcW w:w="1196" w:type="dxa"/>
            <w:tcBorders>
              <w:top w:val="nil"/>
              <w:left w:val="nil"/>
              <w:bottom w:val="nil"/>
              <w:right w:val="nil"/>
            </w:tcBorders>
            <w:shd w:val="clear" w:color="000000" w:fill="FFFFFF"/>
            <w:hideMark/>
          </w:tcPr>
          <w:p w14:paraId="156A7F3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319FC9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59F026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6D01DA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right w:val="nil"/>
            </w:tcBorders>
            <w:shd w:val="clear" w:color="000000" w:fill="FFFFFF"/>
            <w:noWrap/>
            <w:hideMark/>
          </w:tcPr>
          <w:p w14:paraId="7B1E12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right w:val="nil"/>
            </w:tcBorders>
            <w:shd w:val="clear" w:color="000000" w:fill="FFFFFF"/>
            <w:noWrap/>
            <w:hideMark/>
          </w:tcPr>
          <w:p w14:paraId="4BBA94A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right w:val="nil"/>
            </w:tcBorders>
            <w:shd w:val="clear" w:color="000000" w:fill="FFFFFF"/>
            <w:noWrap/>
            <w:hideMark/>
          </w:tcPr>
          <w:p w14:paraId="4FE56DA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right w:val="nil"/>
            </w:tcBorders>
            <w:shd w:val="clear" w:color="000000" w:fill="FFFFFF"/>
            <w:hideMark/>
          </w:tcPr>
          <w:p w14:paraId="2FACBF9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right w:val="nil"/>
            </w:tcBorders>
            <w:shd w:val="clear" w:color="000000" w:fill="FFFFFF"/>
            <w:noWrap/>
            <w:hideMark/>
          </w:tcPr>
          <w:p w14:paraId="113DE8F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right w:val="nil"/>
            </w:tcBorders>
            <w:shd w:val="clear" w:color="000000" w:fill="FFFFFF"/>
            <w:noWrap/>
            <w:hideMark/>
          </w:tcPr>
          <w:p w14:paraId="0F1FADB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right w:val="nil"/>
            </w:tcBorders>
            <w:shd w:val="clear" w:color="000000" w:fill="FFFFFF"/>
            <w:noWrap/>
            <w:hideMark/>
          </w:tcPr>
          <w:p w14:paraId="4D5818B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right w:val="nil"/>
            </w:tcBorders>
            <w:shd w:val="clear" w:color="000000" w:fill="FFFFFF"/>
            <w:noWrap/>
            <w:hideMark/>
          </w:tcPr>
          <w:p w14:paraId="47B969D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right w:val="nil"/>
            </w:tcBorders>
            <w:shd w:val="clear" w:color="000000" w:fill="FFFFFF"/>
            <w:noWrap/>
            <w:hideMark/>
          </w:tcPr>
          <w:p w14:paraId="2F1E47E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right w:val="nil"/>
            </w:tcBorders>
            <w:shd w:val="clear" w:color="000000" w:fill="FFFFFF"/>
            <w:noWrap/>
            <w:hideMark/>
          </w:tcPr>
          <w:p w14:paraId="37B856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right w:val="nil"/>
            </w:tcBorders>
            <w:shd w:val="clear" w:color="000000" w:fill="FFFFFF"/>
            <w:noWrap/>
            <w:hideMark/>
          </w:tcPr>
          <w:p w14:paraId="35D5D62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right w:val="nil"/>
            </w:tcBorders>
            <w:shd w:val="clear" w:color="000000" w:fill="FFFFFF"/>
            <w:noWrap/>
            <w:hideMark/>
          </w:tcPr>
          <w:p w14:paraId="67862C2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right w:val="nil"/>
            </w:tcBorders>
            <w:shd w:val="clear" w:color="000000" w:fill="FFFFFF"/>
            <w:noWrap/>
            <w:hideMark/>
          </w:tcPr>
          <w:p w14:paraId="2158A9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Osteoporosis</w:t>
            </w:r>
          </w:p>
        </w:tc>
        <w:tc>
          <w:tcPr>
            <w:tcW w:w="380" w:type="dxa"/>
            <w:tcBorders>
              <w:top w:val="nil"/>
              <w:left w:val="nil"/>
              <w:right w:val="nil"/>
            </w:tcBorders>
            <w:shd w:val="clear" w:color="000000" w:fill="FFFFFF"/>
            <w:noWrap/>
            <w:hideMark/>
          </w:tcPr>
          <w:p w14:paraId="61719B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48,0</w:t>
            </w:r>
          </w:p>
        </w:tc>
        <w:tc>
          <w:tcPr>
            <w:tcW w:w="1287" w:type="dxa"/>
            <w:gridSpan w:val="2"/>
            <w:tcBorders>
              <w:top w:val="nil"/>
              <w:left w:val="nil"/>
              <w:right w:val="nil"/>
            </w:tcBorders>
            <w:shd w:val="clear" w:color="000000" w:fill="FFFFFF"/>
            <w:noWrap/>
            <w:hideMark/>
          </w:tcPr>
          <w:p w14:paraId="5E76A8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12</w:t>
            </w:r>
            <w:r w:rsidRPr="00367BEC">
              <w:rPr>
                <w:rFonts w:ascii="Times New Roman" w:hAnsi="Times New Roman"/>
                <w:color w:val="000000"/>
                <w:sz w:val="16"/>
              </w:rPr>
              <w:t>/25)</w:t>
            </w:r>
          </w:p>
        </w:tc>
      </w:tr>
      <w:tr w:rsidR="002E4D99" w:rsidRPr="00367BEC" w14:paraId="5840ED13" w14:textId="77777777" w:rsidTr="00CF1C1E">
        <w:trPr>
          <w:trHeight w:val="20"/>
        </w:trPr>
        <w:tc>
          <w:tcPr>
            <w:tcW w:w="1196" w:type="dxa"/>
            <w:tcBorders>
              <w:top w:val="nil"/>
              <w:left w:val="nil"/>
              <w:bottom w:val="nil"/>
              <w:right w:val="nil"/>
            </w:tcBorders>
            <w:shd w:val="clear" w:color="000000" w:fill="FFFFFF"/>
          </w:tcPr>
          <w:p w14:paraId="788C60E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76" w:type="dxa"/>
            <w:tcBorders>
              <w:top w:val="nil"/>
              <w:left w:val="nil"/>
              <w:bottom w:val="nil"/>
              <w:right w:val="nil"/>
            </w:tcBorders>
            <w:shd w:val="clear" w:color="000000" w:fill="FFFFFF"/>
            <w:noWrap/>
          </w:tcPr>
          <w:p w14:paraId="3C6F5C4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28" w:type="dxa"/>
            <w:tcBorders>
              <w:top w:val="nil"/>
              <w:left w:val="nil"/>
              <w:bottom w:val="nil"/>
              <w:right w:val="nil"/>
            </w:tcBorders>
            <w:shd w:val="clear" w:color="000000" w:fill="FFFFFF"/>
            <w:noWrap/>
          </w:tcPr>
          <w:p w14:paraId="17341D7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703" w:type="dxa"/>
            <w:tcBorders>
              <w:top w:val="nil"/>
              <w:left w:val="nil"/>
              <w:bottom w:val="nil"/>
              <w:right w:val="nil"/>
            </w:tcBorders>
            <w:shd w:val="clear" w:color="000000" w:fill="FFFFFF"/>
            <w:noWrap/>
          </w:tcPr>
          <w:p w14:paraId="455BE40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728" w:type="dxa"/>
            <w:tcBorders>
              <w:left w:val="nil"/>
              <w:bottom w:val="single" w:sz="4" w:space="0" w:color="D0CECE" w:themeColor="background2" w:themeShade="E6"/>
              <w:right w:val="nil"/>
            </w:tcBorders>
            <w:shd w:val="clear" w:color="000000" w:fill="FFFFFF"/>
            <w:noWrap/>
          </w:tcPr>
          <w:p w14:paraId="7147D36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left w:val="nil"/>
              <w:bottom w:val="single" w:sz="4" w:space="0" w:color="D0CECE" w:themeColor="background2" w:themeShade="E6"/>
              <w:right w:val="nil"/>
            </w:tcBorders>
            <w:shd w:val="clear" w:color="000000" w:fill="FFFFFF"/>
            <w:noWrap/>
          </w:tcPr>
          <w:p w14:paraId="6B86281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left w:val="nil"/>
              <w:bottom w:val="single" w:sz="4" w:space="0" w:color="D0CECE" w:themeColor="background2" w:themeShade="E6"/>
              <w:right w:val="nil"/>
            </w:tcBorders>
            <w:shd w:val="clear" w:color="000000" w:fill="FFFFFF"/>
            <w:noWrap/>
          </w:tcPr>
          <w:p w14:paraId="14BC654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left w:val="nil"/>
              <w:bottom w:val="single" w:sz="4" w:space="0" w:color="D0CECE" w:themeColor="background2" w:themeShade="E6"/>
              <w:right w:val="nil"/>
            </w:tcBorders>
            <w:shd w:val="clear" w:color="000000" w:fill="FFFFFF"/>
          </w:tcPr>
          <w:p w14:paraId="1A87135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left w:val="nil"/>
              <w:bottom w:val="single" w:sz="4" w:space="0" w:color="D0CECE" w:themeColor="background2" w:themeShade="E6"/>
              <w:right w:val="nil"/>
            </w:tcBorders>
            <w:shd w:val="clear" w:color="000000" w:fill="FFFFFF"/>
            <w:noWrap/>
          </w:tcPr>
          <w:p w14:paraId="4AFCC3D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left w:val="nil"/>
              <w:bottom w:val="single" w:sz="4" w:space="0" w:color="D0CECE" w:themeColor="background2" w:themeShade="E6"/>
              <w:right w:val="nil"/>
            </w:tcBorders>
            <w:shd w:val="clear" w:color="000000" w:fill="FFFFFF"/>
            <w:noWrap/>
          </w:tcPr>
          <w:p w14:paraId="5DF12E5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left w:val="nil"/>
              <w:bottom w:val="single" w:sz="4" w:space="0" w:color="D0CECE" w:themeColor="background2" w:themeShade="E6"/>
              <w:right w:val="nil"/>
            </w:tcBorders>
            <w:shd w:val="clear" w:color="000000" w:fill="FFFFFF"/>
            <w:noWrap/>
          </w:tcPr>
          <w:p w14:paraId="088CDF9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left w:val="nil"/>
              <w:bottom w:val="single" w:sz="4" w:space="0" w:color="D0CECE" w:themeColor="background2" w:themeShade="E6"/>
              <w:right w:val="nil"/>
            </w:tcBorders>
            <w:shd w:val="clear" w:color="000000" w:fill="FFFFFF"/>
            <w:noWrap/>
          </w:tcPr>
          <w:p w14:paraId="1F6B292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left w:val="nil"/>
              <w:bottom w:val="single" w:sz="4" w:space="0" w:color="D0CECE" w:themeColor="background2" w:themeShade="E6"/>
              <w:right w:val="nil"/>
            </w:tcBorders>
            <w:shd w:val="clear" w:color="000000" w:fill="FFFFFF"/>
            <w:noWrap/>
          </w:tcPr>
          <w:p w14:paraId="6D15BF7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left w:val="nil"/>
              <w:bottom w:val="single" w:sz="4" w:space="0" w:color="D0CECE" w:themeColor="background2" w:themeShade="E6"/>
              <w:right w:val="nil"/>
            </w:tcBorders>
            <w:shd w:val="clear" w:color="000000" w:fill="FFFFFF"/>
            <w:noWrap/>
          </w:tcPr>
          <w:p w14:paraId="765E0D7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left w:val="nil"/>
              <w:bottom w:val="single" w:sz="4" w:space="0" w:color="D0CECE" w:themeColor="background2" w:themeShade="E6"/>
              <w:right w:val="nil"/>
            </w:tcBorders>
            <w:shd w:val="clear" w:color="000000" w:fill="FFFFFF"/>
            <w:noWrap/>
          </w:tcPr>
          <w:p w14:paraId="1137901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left w:val="nil"/>
              <w:bottom w:val="single" w:sz="4" w:space="0" w:color="D0CECE" w:themeColor="background2" w:themeShade="E6"/>
              <w:right w:val="nil"/>
            </w:tcBorders>
            <w:shd w:val="clear" w:color="000000" w:fill="FFFFFF"/>
            <w:noWrap/>
          </w:tcPr>
          <w:p w14:paraId="1B9F473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left w:val="nil"/>
              <w:bottom w:val="single" w:sz="4" w:space="0" w:color="D0CECE" w:themeColor="background2" w:themeShade="E6"/>
              <w:right w:val="nil"/>
            </w:tcBorders>
            <w:shd w:val="clear" w:color="000000" w:fill="FFFFFF"/>
            <w:noWrap/>
          </w:tcPr>
          <w:p w14:paraId="487C4E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IVC en las piernas</w:t>
            </w:r>
          </w:p>
        </w:tc>
        <w:tc>
          <w:tcPr>
            <w:tcW w:w="380" w:type="dxa"/>
            <w:tcBorders>
              <w:left w:val="nil"/>
              <w:bottom w:val="single" w:sz="4" w:space="0" w:color="D0CECE" w:themeColor="background2" w:themeShade="E6"/>
              <w:right w:val="nil"/>
            </w:tcBorders>
            <w:shd w:val="clear" w:color="000000" w:fill="FFFFFF"/>
            <w:noWrap/>
          </w:tcPr>
          <w:p w14:paraId="63DC0A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w:t>
            </w:r>
          </w:p>
        </w:tc>
        <w:tc>
          <w:tcPr>
            <w:tcW w:w="1287" w:type="dxa"/>
            <w:gridSpan w:val="2"/>
            <w:tcBorders>
              <w:left w:val="nil"/>
              <w:bottom w:val="single" w:sz="4" w:space="0" w:color="D0CECE" w:themeColor="background2" w:themeShade="E6"/>
              <w:right w:val="nil"/>
            </w:tcBorders>
            <w:shd w:val="clear" w:color="000000" w:fill="FFFFFF"/>
            <w:noWrap/>
          </w:tcPr>
          <w:p w14:paraId="0B7D12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w:t>
            </w:r>
            <w:r w:rsidRPr="00367BEC">
              <w:rPr>
                <w:rFonts w:ascii="Times New Roman" w:hAnsi="Times New Roman"/>
                <w:color w:val="000000"/>
                <w:sz w:val="16"/>
              </w:rPr>
              <w:t>/25)</w:t>
            </w:r>
            <w:r w:rsidRPr="00367BEC">
              <w:rPr>
                <w:rFonts w:ascii="Times New Roman" w:hAnsi="Times New Roman"/>
                <w:b/>
                <w:color w:val="000000"/>
                <w:sz w:val="16"/>
                <w:vertAlign w:val="superscript"/>
              </w:rPr>
              <w:t>I</w:t>
            </w:r>
          </w:p>
        </w:tc>
      </w:tr>
      <w:tr w:rsidR="002E4D99" w:rsidRPr="00367BEC" w14:paraId="1153ABB2" w14:textId="77777777" w:rsidTr="00CF1C1E">
        <w:trPr>
          <w:trHeight w:val="20"/>
        </w:trPr>
        <w:tc>
          <w:tcPr>
            <w:tcW w:w="1196" w:type="dxa"/>
            <w:tcBorders>
              <w:top w:val="nil"/>
              <w:left w:val="nil"/>
              <w:bottom w:val="nil"/>
              <w:right w:val="nil"/>
            </w:tcBorders>
            <w:shd w:val="clear" w:color="000000" w:fill="FFFFFF"/>
            <w:hideMark/>
          </w:tcPr>
          <w:p w14:paraId="4DD3E76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560B9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ACB6C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6916412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val="restart"/>
            <w:tcBorders>
              <w:top w:val="single" w:sz="4" w:space="0" w:color="D0CECE" w:themeColor="background2" w:themeShade="E6"/>
              <w:left w:val="nil"/>
              <w:right w:val="nil"/>
            </w:tcBorders>
            <w:shd w:val="clear" w:color="000000" w:fill="FFFFFF"/>
            <w:hideMark/>
          </w:tcPr>
          <w:p w14:paraId="15CD86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 </w:t>
            </w:r>
            <w:proofErr w:type="spellStart"/>
            <w:r w:rsidRPr="00367BEC">
              <w:rPr>
                <w:rFonts w:ascii="Times New Roman" w:hAnsi="Times New Roman"/>
                <w:color w:val="000000"/>
                <w:sz w:val="16"/>
              </w:rPr>
              <w:t>um</w:t>
            </w:r>
            <w:proofErr w:type="spellEnd"/>
            <w:r w:rsidRPr="00367BEC">
              <w:rPr>
                <w:rFonts w:ascii="Times New Roman" w:hAnsi="Times New Roman"/>
                <w:color w:val="000000"/>
                <w:sz w:val="16"/>
              </w:rPr>
              <w:t>-PEA</w:t>
            </w:r>
          </w:p>
          <w:p w14:paraId="089C6C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73F1B0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1A1416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0FBC49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45695E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single" w:sz="4" w:space="0" w:color="D0CECE" w:themeColor="background2" w:themeShade="E6"/>
              <w:left w:val="nil"/>
              <w:bottom w:val="nil"/>
              <w:right w:val="nil"/>
            </w:tcBorders>
            <w:shd w:val="clear" w:color="000000" w:fill="FFFFFF"/>
            <w:noWrap/>
            <w:hideMark/>
          </w:tcPr>
          <w:p w14:paraId="765C14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w:t>
            </w:r>
          </w:p>
        </w:tc>
        <w:tc>
          <w:tcPr>
            <w:tcW w:w="360" w:type="dxa"/>
            <w:tcBorders>
              <w:top w:val="single" w:sz="4" w:space="0" w:color="D0CECE" w:themeColor="background2" w:themeShade="E6"/>
              <w:left w:val="nil"/>
              <w:bottom w:val="nil"/>
              <w:right w:val="nil"/>
            </w:tcBorders>
            <w:shd w:val="clear" w:color="000000" w:fill="FFFFFF"/>
            <w:noWrap/>
            <w:hideMark/>
          </w:tcPr>
          <w:p w14:paraId="459D43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64,7</w:t>
            </w:r>
          </w:p>
        </w:tc>
        <w:tc>
          <w:tcPr>
            <w:tcW w:w="543" w:type="dxa"/>
            <w:tcBorders>
              <w:top w:val="single" w:sz="4" w:space="0" w:color="D0CECE" w:themeColor="background2" w:themeShade="E6"/>
              <w:left w:val="nil"/>
              <w:bottom w:val="nil"/>
              <w:right w:val="nil"/>
            </w:tcBorders>
            <w:shd w:val="clear" w:color="000000" w:fill="FFFFFF"/>
            <w:hideMark/>
          </w:tcPr>
          <w:p w14:paraId="3D2855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(4,1)</w:t>
            </w:r>
          </w:p>
        </w:tc>
        <w:tc>
          <w:tcPr>
            <w:tcW w:w="538" w:type="dxa"/>
            <w:tcBorders>
              <w:top w:val="single" w:sz="4" w:space="0" w:color="D0CECE" w:themeColor="background2" w:themeShade="E6"/>
              <w:left w:val="nil"/>
              <w:bottom w:val="nil"/>
              <w:right w:val="nil"/>
            </w:tcBorders>
            <w:shd w:val="clear" w:color="000000" w:fill="FFFFFF"/>
            <w:noWrap/>
            <w:hideMark/>
          </w:tcPr>
          <w:p w14:paraId="4F6A6B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30,0</w:t>
            </w:r>
          </w:p>
        </w:tc>
        <w:tc>
          <w:tcPr>
            <w:tcW w:w="1325" w:type="dxa"/>
            <w:tcBorders>
              <w:top w:val="single" w:sz="4" w:space="0" w:color="D0CECE" w:themeColor="background2" w:themeShade="E6"/>
              <w:left w:val="nil"/>
              <w:bottom w:val="nil"/>
              <w:right w:val="nil"/>
            </w:tcBorders>
            <w:shd w:val="clear" w:color="000000" w:fill="FFFFFF"/>
            <w:noWrap/>
            <w:hideMark/>
          </w:tcPr>
          <w:p w14:paraId="40A79E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ME/LUM</w:t>
            </w:r>
          </w:p>
        </w:tc>
        <w:tc>
          <w:tcPr>
            <w:tcW w:w="871" w:type="dxa"/>
            <w:tcBorders>
              <w:top w:val="single" w:sz="4" w:space="0" w:color="D0CECE" w:themeColor="background2" w:themeShade="E6"/>
              <w:left w:val="nil"/>
              <w:bottom w:val="nil"/>
              <w:right w:val="nil"/>
            </w:tcBorders>
            <w:shd w:val="clear" w:color="000000" w:fill="FFFFFF"/>
            <w:noWrap/>
            <w:hideMark/>
          </w:tcPr>
          <w:p w14:paraId="797831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4" w:space="0" w:color="D0CECE" w:themeColor="background2" w:themeShade="E6"/>
              <w:left w:val="nil"/>
              <w:bottom w:val="nil"/>
              <w:right w:val="nil"/>
            </w:tcBorders>
            <w:shd w:val="clear" w:color="000000" w:fill="FFFFFF"/>
            <w:noWrap/>
            <w:hideMark/>
          </w:tcPr>
          <w:p w14:paraId="13129A2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872" w:type="dxa"/>
            <w:tcBorders>
              <w:top w:val="single" w:sz="4" w:space="0" w:color="D0CECE" w:themeColor="background2" w:themeShade="E6"/>
              <w:left w:val="nil"/>
              <w:bottom w:val="nil"/>
              <w:right w:val="nil"/>
            </w:tcBorders>
            <w:shd w:val="clear" w:color="000000" w:fill="FFFFFF"/>
            <w:noWrap/>
            <w:hideMark/>
          </w:tcPr>
          <w:p w14:paraId="4BB0F4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(30/30)</w:t>
            </w:r>
          </w:p>
        </w:tc>
        <w:tc>
          <w:tcPr>
            <w:tcW w:w="855" w:type="dxa"/>
            <w:tcBorders>
              <w:top w:val="single" w:sz="4" w:space="0" w:color="D0CECE" w:themeColor="background2" w:themeShade="E6"/>
              <w:left w:val="nil"/>
              <w:bottom w:val="nil"/>
              <w:right w:val="nil"/>
            </w:tcBorders>
            <w:shd w:val="clear" w:color="000000" w:fill="FFFFFF"/>
            <w:noWrap/>
            <w:hideMark/>
          </w:tcPr>
          <w:p w14:paraId="5EB126B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 m</w:t>
            </w:r>
          </w:p>
        </w:tc>
        <w:tc>
          <w:tcPr>
            <w:tcW w:w="360" w:type="dxa"/>
            <w:tcBorders>
              <w:top w:val="single" w:sz="4" w:space="0" w:color="D0CECE" w:themeColor="background2" w:themeShade="E6"/>
              <w:left w:val="nil"/>
              <w:bottom w:val="nil"/>
              <w:right w:val="nil"/>
            </w:tcBorders>
            <w:shd w:val="clear" w:color="000000" w:fill="FFFFFF"/>
            <w:noWrap/>
            <w:hideMark/>
          </w:tcPr>
          <w:p w14:paraId="4D2786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872" w:type="dxa"/>
            <w:tcBorders>
              <w:top w:val="single" w:sz="4" w:space="0" w:color="D0CECE" w:themeColor="background2" w:themeShade="E6"/>
              <w:left w:val="nil"/>
              <w:bottom w:val="nil"/>
              <w:right w:val="nil"/>
            </w:tcBorders>
            <w:shd w:val="clear" w:color="000000" w:fill="FFFFFF"/>
            <w:noWrap/>
            <w:hideMark/>
          </w:tcPr>
          <w:p w14:paraId="005A5A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(30/30)</w:t>
            </w:r>
          </w:p>
        </w:tc>
        <w:tc>
          <w:tcPr>
            <w:tcW w:w="1293" w:type="dxa"/>
            <w:tcBorders>
              <w:top w:val="single" w:sz="4" w:space="0" w:color="D0CECE" w:themeColor="background2" w:themeShade="E6"/>
              <w:left w:val="nil"/>
              <w:bottom w:val="nil"/>
              <w:right w:val="nil"/>
            </w:tcBorders>
            <w:shd w:val="clear" w:color="000000" w:fill="FFFFFF"/>
            <w:noWrap/>
            <w:hideMark/>
          </w:tcPr>
          <w:p w14:paraId="255398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DM II</w:t>
            </w:r>
          </w:p>
        </w:tc>
        <w:tc>
          <w:tcPr>
            <w:tcW w:w="380" w:type="dxa"/>
            <w:tcBorders>
              <w:top w:val="single" w:sz="4" w:space="0" w:color="D0CECE" w:themeColor="background2" w:themeShade="E6"/>
              <w:left w:val="nil"/>
              <w:bottom w:val="nil"/>
              <w:right w:val="nil"/>
            </w:tcBorders>
            <w:shd w:val="clear" w:color="000000" w:fill="FFFFFF"/>
            <w:noWrap/>
            <w:hideMark/>
          </w:tcPr>
          <w:p w14:paraId="131B85D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40,0</w:t>
            </w:r>
          </w:p>
        </w:tc>
        <w:tc>
          <w:tcPr>
            <w:tcW w:w="1287" w:type="dxa"/>
            <w:gridSpan w:val="2"/>
            <w:tcBorders>
              <w:top w:val="single" w:sz="4" w:space="0" w:color="D0CECE" w:themeColor="background2" w:themeShade="E6"/>
              <w:left w:val="nil"/>
              <w:bottom w:val="nil"/>
              <w:right w:val="nil"/>
            </w:tcBorders>
            <w:shd w:val="clear" w:color="000000" w:fill="FFFFFF"/>
            <w:noWrap/>
            <w:hideMark/>
          </w:tcPr>
          <w:p w14:paraId="21E961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12</w:t>
            </w:r>
            <w:r w:rsidRPr="00367BEC">
              <w:rPr>
                <w:rFonts w:ascii="Times New Roman" w:hAnsi="Times New Roman"/>
                <w:color w:val="000000"/>
                <w:sz w:val="16"/>
              </w:rPr>
              <w:t>/30)</w:t>
            </w:r>
          </w:p>
        </w:tc>
      </w:tr>
      <w:tr w:rsidR="002E4D99" w:rsidRPr="00367BEC" w14:paraId="1C332223" w14:textId="77777777" w:rsidTr="00CF1C1E">
        <w:trPr>
          <w:trHeight w:val="20"/>
        </w:trPr>
        <w:tc>
          <w:tcPr>
            <w:tcW w:w="1196" w:type="dxa"/>
            <w:tcBorders>
              <w:top w:val="nil"/>
              <w:left w:val="nil"/>
              <w:bottom w:val="nil"/>
              <w:right w:val="nil"/>
            </w:tcBorders>
            <w:shd w:val="clear" w:color="000000" w:fill="FFFFFF"/>
            <w:hideMark/>
          </w:tcPr>
          <w:p w14:paraId="51EE7A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44D8620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3C357B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6AC1CA5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tcBorders>
              <w:left w:val="nil"/>
              <w:right w:val="nil"/>
            </w:tcBorders>
            <w:shd w:val="clear" w:color="000000" w:fill="FFFFFF"/>
            <w:hideMark/>
          </w:tcPr>
          <w:p w14:paraId="277BBF7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nil"/>
              <w:right w:val="nil"/>
            </w:tcBorders>
            <w:shd w:val="clear" w:color="000000" w:fill="FFFFFF"/>
            <w:noWrap/>
            <w:hideMark/>
          </w:tcPr>
          <w:p w14:paraId="516D5F5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BEEA8E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3DD17C4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2899A70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29A8AAD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46AE5C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A144B4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6797A29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3F45CB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7395559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43023F8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484CE40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nil"/>
              <w:left w:val="nil"/>
              <w:bottom w:val="nil"/>
              <w:right w:val="nil"/>
            </w:tcBorders>
            <w:shd w:val="clear" w:color="000000" w:fill="FFFFFF"/>
            <w:noWrap/>
            <w:hideMark/>
          </w:tcPr>
          <w:p w14:paraId="48D5D3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20,0</w:t>
            </w:r>
          </w:p>
        </w:tc>
        <w:tc>
          <w:tcPr>
            <w:tcW w:w="1287" w:type="dxa"/>
            <w:gridSpan w:val="2"/>
            <w:tcBorders>
              <w:top w:val="nil"/>
              <w:left w:val="nil"/>
              <w:bottom w:val="nil"/>
              <w:right w:val="nil"/>
            </w:tcBorders>
            <w:shd w:val="clear" w:color="000000" w:fill="FFFFFF"/>
            <w:noWrap/>
            <w:hideMark/>
          </w:tcPr>
          <w:p w14:paraId="4E11CE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6</w:t>
            </w:r>
            <w:r w:rsidRPr="00367BEC">
              <w:rPr>
                <w:rFonts w:ascii="Times New Roman" w:hAnsi="Times New Roman"/>
                <w:color w:val="000000"/>
                <w:sz w:val="16"/>
              </w:rPr>
              <w:t>/30)</w:t>
            </w:r>
          </w:p>
        </w:tc>
      </w:tr>
      <w:tr w:rsidR="002E4D99" w:rsidRPr="00367BEC" w14:paraId="29A9C789" w14:textId="77777777" w:rsidTr="00CF1C1E">
        <w:trPr>
          <w:trHeight w:val="20"/>
        </w:trPr>
        <w:tc>
          <w:tcPr>
            <w:tcW w:w="1196" w:type="dxa"/>
            <w:tcBorders>
              <w:top w:val="nil"/>
              <w:left w:val="nil"/>
              <w:bottom w:val="nil"/>
              <w:right w:val="nil"/>
            </w:tcBorders>
            <w:shd w:val="clear" w:color="000000" w:fill="FFFFFF"/>
            <w:hideMark/>
          </w:tcPr>
          <w:p w14:paraId="70B157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E6E325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448DC45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DB11E5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tcBorders>
              <w:left w:val="nil"/>
              <w:right w:val="nil"/>
            </w:tcBorders>
            <w:shd w:val="clear" w:color="000000" w:fill="FFFFFF"/>
            <w:hideMark/>
          </w:tcPr>
          <w:p w14:paraId="5EE4901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nil"/>
              <w:right w:val="nil"/>
            </w:tcBorders>
            <w:shd w:val="clear" w:color="000000" w:fill="FFFFFF"/>
            <w:noWrap/>
            <w:hideMark/>
          </w:tcPr>
          <w:p w14:paraId="0178C8E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11C10EA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365B0AD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5DBC6D2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20B36CF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1E693C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646516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12ADF9D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37569E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111E7A1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593DF1C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38717F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CI</w:t>
            </w:r>
          </w:p>
        </w:tc>
        <w:tc>
          <w:tcPr>
            <w:tcW w:w="380" w:type="dxa"/>
            <w:tcBorders>
              <w:top w:val="nil"/>
              <w:left w:val="nil"/>
              <w:bottom w:val="nil"/>
              <w:right w:val="nil"/>
            </w:tcBorders>
            <w:shd w:val="clear" w:color="000000" w:fill="FFFFFF"/>
            <w:noWrap/>
            <w:hideMark/>
          </w:tcPr>
          <w:p w14:paraId="7531E5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w:t>
            </w:r>
          </w:p>
        </w:tc>
        <w:tc>
          <w:tcPr>
            <w:tcW w:w="1287" w:type="dxa"/>
            <w:gridSpan w:val="2"/>
            <w:tcBorders>
              <w:top w:val="nil"/>
              <w:left w:val="nil"/>
              <w:bottom w:val="nil"/>
              <w:right w:val="nil"/>
            </w:tcBorders>
            <w:shd w:val="clear" w:color="000000" w:fill="FFFFFF"/>
            <w:noWrap/>
            <w:hideMark/>
          </w:tcPr>
          <w:p w14:paraId="164680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4</w:t>
            </w:r>
            <w:r w:rsidRPr="00367BEC">
              <w:rPr>
                <w:rFonts w:ascii="Times New Roman" w:hAnsi="Times New Roman"/>
                <w:color w:val="000000"/>
                <w:sz w:val="16"/>
              </w:rPr>
              <w:t>/30)</w:t>
            </w:r>
          </w:p>
        </w:tc>
      </w:tr>
      <w:tr w:rsidR="002E4D99" w:rsidRPr="00367BEC" w14:paraId="0A9738AC" w14:textId="77777777" w:rsidTr="00CF1C1E">
        <w:trPr>
          <w:trHeight w:val="20"/>
        </w:trPr>
        <w:tc>
          <w:tcPr>
            <w:tcW w:w="1196" w:type="dxa"/>
            <w:tcBorders>
              <w:top w:val="nil"/>
              <w:left w:val="nil"/>
              <w:bottom w:val="nil"/>
              <w:right w:val="nil"/>
            </w:tcBorders>
            <w:shd w:val="clear" w:color="000000" w:fill="FFFFFF"/>
            <w:hideMark/>
          </w:tcPr>
          <w:p w14:paraId="7158A1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703661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14B9DB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7CEEAC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tcBorders>
              <w:left w:val="nil"/>
              <w:right w:val="nil"/>
            </w:tcBorders>
            <w:shd w:val="clear" w:color="000000" w:fill="FFFFFF"/>
            <w:hideMark/>
          </w:tcPr>
          <w:p w14:paraId="6B57EDE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nil"/>
              <w:right w:val="nil"/>
            </w:tcBorders>
            <w:shd w:val="clear" w:color="000000" w:fill="FFFFFF"/>
            <w:noWrap/>
            <w:hideMark/>
          </w:tcPr>
          <w:p w14:paraId="274EFA6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1BE93DE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5DF788E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C4BC72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0225119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631FCA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559D27A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90603D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46CDF2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65EFFAB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42718B9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190586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Obesidad mórbida</w:t>
            </w:r>
          </w:p>
        </w:tc>
        <w:tc>
          <w:tcPr>
            <w:tcW w:w="380" w:type="dxa"/>
            <w:tcBorders>
              <w:top w:val="nil"/>
              <w:left w:val="nil"/>
              <w:bottom w:val="nil"/>
              <w:right w:val="nil"/>
            </w:tcBorders>
            <w:shd w:val="clear" w:color="000000" w:fill="FFFFFF"/>
            <w:noWrap/>
            <w:hideMark/>
          </w:tcPr>
          <w:p w14:paraId="03FF60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20,0</w:t>
            </w:r>
          </w:p>
        </w:tc>
        <w:tc>
          <w:tcPr>
            <w:tcW w:w="1287" w:type="dxa"/>
            <w:gridSpan w:val="2"/>
            <w:tcBorders>
              <w:top w:val="nil"/>
              <w:left w:val="nil"/>
              <w:bottom w:val="nil"/>
              <w:right w:val="nil"/>
            </w:tcBorders>
            <w:shd w:val="clear" w:color="000000" w:fill="FFFFFF"/>
            <w:noWrap/>
            <w:hideMark/>
          </w:tcPr>
          <w:p w14:paraId="7729686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6</w:t>
            </w:r>
            <w:r w:rsidRPr="00367BEC">
              <w:rPr>
                <w:rFonts w:ascii="Times New Roman" w:hAnsi="Times New Roman"/>
                <w:color w:val="000000"/>
                <w:sz w:val="16"/>
              </w:rPr>
              <w:t>/30)</w:t>
            </w:r>
          </w:p>
        </w:tc>
      </w:tr>
      <w:tr w:rsidR="002E4D99" w:rsidRPr="00367BEC" w14:paraId="7468E6F8" w14:textId="77777777" w:rsidTr="00CF1C1E">
        <w:trPr>
          <w:trHeight w:val="20"/>
        </w:trPr>
        <w:tc>
          <w:tcPr>
            <w:tcW w:w="1196" w:type="dxa"/>
            <w:tcBorders>
              <w:top w:val="nil"/>
              <w:left w:val="nil"/>
              <w:bottom w:val="nil"/>
              <w:right w:val="nil"/>
            </w:tcBorders>
            <w:shd w:val="clear" w:color="000000" w:fill="FFFFFF"/>
            <w:hideMark/>
          </w:tcPr>
          <w:p w14:paraId="6665DE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6D1D46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71556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8A1C7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tcBorders>
              <w:left w:val="nil"/>
              <w:right w:val="nil"/>
            </w:tcBorders>
            <w:shd w:val="clear" w:color="000000" w:fill="FFFFFF"/>
            <w:hideMark/>
          </w:tcPr>
          <w:p w14:paraId="6180972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nil"/>
              <w:right w:val="nil"/>
            </w:tcBorders>
            <w:shd w:val="clear" w:color="000000" w:fill="FFFFFF"/>
            <w:noWrap/>
            <w:hideMark/>
          </w:tcPr>
          <w:p w14:paraId="1D32D5B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423E53B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C1EFCE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BD83CA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319C72E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59F1728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1EC3274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3FC72CF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7147C2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7EB08F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1EC45CD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6E2ADE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EPOC</w:t>
            </w:r>
          </w:p>
        </w:tc>
        <w:tc>
          <w:tcPr>
            <w:tcW w:w="380" w:type="dxa"/>
            <w:tcBorders>
              <w:top w:val="nil"/>
              <w:left w:val="nil"/>
              <w:bottom w:val="nil"/>
              <w:right w:val="nil"/>
            </w:tcBorders>
            <w:shd w:val="clear" w:color="000000" w:fill="FFFFFF"/>
            <w:noWrap/>
            <w:hideMark/>
          </w:tcPr>
          <w:p w14:paraId="7DAA97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33,3</w:t>
            </w:r>
          </w:p>
        </w:tc>
        <w:tc>
          <w:tcPr>
            <w:tcW w:w="1287" w:type="dxa"/>
            <w:gridSpan w:val="2"/>
            <w:tcBorders>
              <w:top w:val="nil"/>
              <w:left w:val="nil"/>
              <w:bottom w:val="nil"/>
              <w:right w:val="nil"/>
            </w:tcBorders>
            <w:shd w:val="clear" w:color="000000" w:fill="FFFFFF"/>
            <w:noWrap/>
            <w:hideMark/>
          </w:tcPr>
          <w:p w14:paraId="148CB0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10</w:t>
            </w:r>
            <w:r w:rsidRPr="00367BEC">
              <w:rPr>
                <w:rFonts w:ascii="Times New Roman" w:hAnsi="Times New Roman"/>
                <w:color w:val="000000"/>
                <w:sz w:val="16"/>
              </w:rPr>
              <w:t>/30)</w:t>
            </w:r>
          </w:p>
        </w:tc>
      </w:tr>
      <w:tr w:rsidR="002E4D99" w:rsidRPr="00367BEC" w14:paraId="25BD9721" w14:textId="77777777" w:rsidTr="00CF1C1E">
        <w:trPr>
          <w:trHeight w:val="20"/>
        </w:trPr>
        <w:tc>
          <w:tcPr>
            <w:tcW w:w="1196" w:type="dxa"/>
            <w:tcBorders>
              <w:top w:val="nil"/>
              <w:left w:val="nil"/>
              <w:bottom w:val="nil"/>
              <w:right w:val="nil"/>
            </w:tcBorders>
            <w:shd w:val="clear" w:color="000000" w:fill="FFFFFF"/>
            <w:hideMark/>
          </w:tcPr>
          <w:p w14:paraId="7771A12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D3FD56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4EA4C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5B781A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tcBorders>
              <w:left w:val="nil"/>
              <w:right w:val="nil"/>
            </w:tcBorders>
            <w:shd w:val="clear" w:color="000000" w:fill="FFFFFF"/>
            <w:hideMark/>
          </w:tcPr>
          <w:p w14:paraId="298D6E2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nil"/>
              <w:right w:val="nil"/>
            </w:tcBorders>
            <w:shd w:val="clear" w:color="000000" w:fill="FFFFFF"/>
            <w:noWrap/>
            <w:hideMark/>
          </w:tcPr>
          <w:p w14:paraId="31C85FF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F1608E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3B606A0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CD0356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5A9EA13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129B965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75E28B5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F09B59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028777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20CFF6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67AE977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2FF49B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Osteoporosis</w:t>
            </w:r>
          </w:p>
        </w:tc>
        <w:tc>
          <w:tcPr>
            <w:tcW w:w="380" w:type="dxa"/>
            <w:tcBorders>
              <w:top w:val="nil"/>
              <w:left w:val="nil"/>
              <w:bottom w:val="nil"/>
              <w:right w:val="nil"/>
            </w:tcBorders>
            <w:shd w:val="clear" w:color="000000" w:fill="FFFFFF"/>
            <w:noWrap/>
            <w:hideMark/>
          </w:tcPr>
          <w:p w14:paraId="55ED02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43,3</w:t>
            </w:r>
          </w:p>
        </w:tc>
        <w:tc>
          <w:tcPr>
            <w:tcW w:w="1287" w:type="dxa"/>
            <w:gridSpan w:val="2"/>
            <w:tcBorders>
              <w:top w:val="nil"/>
              <w:left w:val="nil"/>
              <w:bottom w:val="nil"/>
              <w:right w:val="nil"/>
            </w:tcBorders>
            <w:shd w:val="clear" w:color="000000" w:fill="FFFFFF"/>
            <w:noWrap/>
            <w:hideMark/>
          </w:tcPr>
          <w:p w14:paraId="008FBF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13</w:t>
            </w:r>
            <w:r w:rsidRPr="00367BEC">
              <w:rPr>
                <w:rFonts w:ascii="Times New Roman" w:hAnsi="Times New Roman"/>
                <w:color w:val="000000"/>
                <w:sz w:val="16"/>
              </w:rPr>
              <w:t>/30)</w:t>
            </w:r>
          </w:p>
        </w:tc>
      </w:tr>
      <w:tr w:rsidR="002E4D99" w:rsidRPr="00367BEC" w14:paraId="37470787" w14:textId="77777777" w:rsidTr="00CF1C1E">
        <w:trPr>
          <w:trHeight w:val="73"/>
        </w:trPr>
        <w:tc>
          <w:tcPr>
            <w:tcW w:w="1196" w:type="dxa"/>
            <w:tcBorders>
              <w:top w:val="nil"/>
              <w:left w:val="nil"/>
              <w:bottom w:val="single" w:sz="8" w:space="0" w:color="auto"/>
              <w:right w:val="nil"/>
            </w:tcBorders>
            <w:shd w:val="clear" w:color="000000" w:fill="FFFFFF"/>
            <w:hideMark/>
          </w:tcPr>
          <w:p w14:paraId="755B924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single" w:sz="8" w:space="0" w:color="auto"/>
              <w:right w:val="nil"/>
            </w:tcBorders>
            <w:shd w:val="clear" w:color="000000" w:fill="FFFFFF"/>
            <w:noWrap/>
            <w:hideMark/>
          </w:tcPr>
          <w:p w14:paraId="550853A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single" w:sz="8" w:space="0" w:color="auto"/>
              <w:right w:val="nil"/>
            </w:tcBorders>
            <w:shd w:val="clear" w:color="000000" w:fill="FFFFFF"/>
            <w:noWrap/>
            <w:hideMark/>
          </w:tcPr>
          <w:p w14:paraId="3B7CF37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single" w:sz="8" w:space="0" w:color="auto"/>
              <w:right w:val="nil"/>
            </w:tcBorders>
            <w:shd w:val="clear" w:color="000000" w:fill="FFFFFF"/>
            <w:noWrap/>
            <w:hideMark/>
          </w:tcPr>
          <w:p w14:paraId="439534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vMerge/>
            <w:tcBorders>
              <w:left w:val="nil"/>
              <w:bottom w:val="single" w:sz="8" w:space="0" w:color="auto"/>
              <w:right w:val="nil"/>
            </w:tcBorders>
            <w:shd w:val="clear" w:color="000000" w:fill="FFFFFF"/>
            <w:hideMark/>
          </w:tcPr>
          <w:p w14:paraId="4E0596B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400" w:type="dxa"/>
            <w:tcBorders>
              <w:top w:val="nil"/>
              <w:left w:val="nil"/>
              <w:bottom w:val="single" w:sz="8" w:space="0" w:color="auto"/>
              <w:right w:val="nil"/>
            </w:tcBorders>
            <w:shd w:val="clear" w:color="000000" w:fill="FFFFFF"/>
            <w:noWrap/>
            <w:hideMark/>
          </w:tcPr>
          <w:p w14:paraId="4774C62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8" w:space="0" w:color="auto"/>
              <w:right w:val="nil"/>
            </w:tcBorders>
            <w:shd w:val="clear" w:color="000000" w:fill="FFFFFF"/>
            <w:noWrap/>
            <w:hideMark/>
          </w:tcPr>
          <w:p w14:paraId="65E2727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8" w:space="0" w:color="auto"/>
              <w:right w:val="nil"/>
            </w:tcBorders>
            <w:shd w:val="clear" w:color="000000" w:fill="FFFFFF"/>
            <w:hideMark/>
          </w:tcPr>
          <w:p w14:paraId="3B4D8D0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8" w:space="0" w:color="auto"/>
              <w:right w:val="nil"/>
            </w:tcBorders>
            <w:shd w:val="clear" w:color="000000" w:fill="FFFFFF"/>
            <w:noWrap/>
            <w:hideMark/>
          </w:tcPr>
          <w:p w14:paraId="29282AE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8" w:space="0" w:color="auto"/>
              <w:right w:val="nil"/>
            </w:tcBorders>
            <w:shd w:val="clear" w:color="000000" w:fill="FFFFFF"/>
            <w:noWrap/>
            <w:hideMark/>
          </w:tcPr>
          <w:p w14:paraId="0503705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8" w:space="0" w:color="auto"/>
              <w:right w:val="nil"/>
            </w:tcBorders>
            <w:shd w:val="clear" w:color="000000" w:fill="FFFFFF"/>
            <w:noWrap/>
            <w:hideMark/>
          </w:tcPr>
          <w:p w14:paraId="6FFA3DF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8" w:space="0" w:color="auto"/>
              <w:right w:val="nil"/>
            </w:tcBorders>
            <w:shd w:val="clear" w:color="000000" w:fill="FFFFFF"/>
            <w:noWrap/>
            <w:hideMark/>
          </w:tcPr>
          <w:p w14:paraId="6E28A7B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8" w:space="0" w:color="auto"/>
              <w:right w:val="nil"/>
            </w:tcBorders>
            <w:shd w:val="clear" w:color="000000" w:fill="FFFFFF"/>
            <w:noWrap/>
            <w:hideMark/>
          </w:tcPr>
          <w:p w14:paraId="28B7EAA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single" w:sz="8" w:space="0" w:color="auto"/>
              <w:right w:val="nil"/>
            </w:tcBorders>
            <w:shd w:val="clear" w:color="000000" w:fill="FFFFFF"/>
            <w:noWrap/>
            <w:hideMark/>
          </w:tcPr>
          <w:p w14:paraId="32B2FA2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8" w:space="0" w:color="auto"/>
              <w:right w:val="nil"/>
            </w:tcBorders>
            <w:shd w:val="clear" w:color="000000" w:fill="FFFFFF"/>
            <w:noWrap/>
            <w:hideMark/>
          </w:tcPr>
          <w:p w14:paraId="1733044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8" w:space="0" w:color="auto"/>
              <w:right w:val="nil"/>
            </w:tcBorders>
            <w:shd w:val="clear" w:color="000000" w:fill="FFFFFF"/>
            <w:noWrap/>
            <w:hideMark/>
          </w:tcPr>
          <w:p w14:paraId="1B370EE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single" w:sz="8" w:space="0" w:color="auto"/>
              <w:right w:val="nil"/>
            </w:tcBorders>
            <w:shd w:val="clear" w:color="000000" w:fill="FFFFFF"/>
            <w:noWrap/>
            <w:hideMark/>
          </w:tcPr>
          <w:p w14:paraId="2A436C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IVC en las piernas</w:t>
            </w:r>
          </w:p>
        </w:tc>
        <w:tc>
          <w:tcPr>
            <w:tcW w:w="380" w:type="dxa"/>
            <w:tcBorders>
              <w:top w:val="nil"/>
              <w:left w:val="nil"/>
              <w:bottom w:val="single" w:sz="8" w:space="0" w:color="auto"/>
              <w:right w:val="nil"/>
            </w:tcBorders>
            <w:shd w:val="clear" w:color="000000" w:fill="FFFFFF"/>
            <w:noWrap/>
            <w:hideMark/>
          </w:tcPr>
          <w:p w14:paraId="77B435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23,3</w:t>
            </w:r>
          </w:p>
        </w:tc>
        <w:tc>
          <w:tcPr>
            <w:tcW w:w="1287" w:type="dxa"/>
            <w:gridSpan w:val="2"/>
            <w:tcBorders>
              <w:top w:val="nil"/>
              <w:left w:val="nil"/>
              <w:bottom w:val="single" w:sz="8" w:space="0" w:color="auto"/>
              <w:right w:val="nil"/>
            </w:tcBorders>
            <w:shd w:val="clear" w:color="000000" w:fill="FFFFFF"/>
            <w:noWrap/>
            <w:hideMark/>
          </w:tcPr>
          <w:p w14:paraId="57857E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7</w:t>
            </w:r>
            <w:r w:rsidRPr="00367BEC">
              <w:rPr>
                <w:rFonts w:ascii="Times New Roman" w:hAnsi="Times New Roman"/>
                <w:color w:val="000000"/>
                <w:sz w:val="16"/>
              </w:rPr>
              <w:t>/30)</w:t>
            </w:r>
          </w:p>
        </w:tc>
      </w:tr>
      <w:tr w:rsidR="002E4D99" w:rsidRPr="00367BEC" w14:paraId="68DE6B7D" w14:textId="77777777" w:rsidTr="00CF1C1E">
        <w:trPr>
          <w:trHeight w:val="20"/>
        </w:trPr>
        <w:tc>
          <w:tcPr>
            <w:tcW w:w="1196" w:type="dxa"/>
            <w:tcBorders>
              <w:top w:val="nil"/>
              <w:left w:val="nil"/>
              <w:bottom w:val="nil"/>
              <w:right w:val="nil"/>
            </w:tcBorders>
            <w:shd w:val="clear" w:color="000000" w:fill="FFFFFF"/>
            <w:hideMark/>
          </w:tcPr>
          <w:p w14:paraId="3AF884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Ueberall</w:t>
            </w:r>
            <w:proofErr w:type="spellEnd"/>
            <w:r w:rsidRPr="00367BEC">
              <w:rPr>
                <w:rFonts w:ascii="Times New Roman" w:hAnsi="Times New Roman"/>
                <w:color w:val="000000"/>
                <w:sz w:val="16"/>
              </w:rPr>
              <w:t xml:space="preserve"> 2016</w:t>
            </w:r>
          </w:p>
        </w:tc>
        <w:tc>
          <w:tcPr>
            <w:tcW w:w="676" w:type="dxa"/>
            <w:tcBorders>
              <w:top w:val="nil"/>
              <w:left w:val="nil"/>
              <w:bottom w:val="nil"/>
              <w:right w:val="nil"/>
            </w:tcBorders>
            <w:shd w:val="clear" w:color="000000" w:fill="FFFFFF"/>
            <w:noWrap/>
            <w:hideMark/>
          </w:tcPr>
          <w:p w14:paraId="6B0CC1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Alemania</w:t>
            </w:r>
          </w:p>
        </w:tc>
        <w:tc>
          <w:tcPr>
            <w:tcW w:w="628" w:type="dxa"/>
            <w:tcBorders>
              <w:top w:val="nil"/>
              <w:left w:val="nil"/>
              <w:bottom w:val="nil"/>
              <w:right w:val="nil"/>
            </w:tcBorders>
            <w:shd w:val="clear" w:color="000000" w:fill="FFFFFF"/>
            <w:noWrap/>
            <w:hideMark/>
          </w:tcPr>
          <w:p w14:paraId="63669C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O/R/C</w:t>
            </w:r>
          </w:p>
        </w:tc>
        <w:tc>
          <w:tcPr>
            <w:tcW w:w="703" w:type="dxa"/>
            <w:tcBorders>
              <w:top w:val="nil"/>
              <w:left w:val="nil"/>
              <w:bottom w:val="nil"/>
              <w:right w:val="nil"/>
            </w:tcBorders>
            <w:shd w:val="clear" w:color="000000" w:fill="FFFFFF"/>
            <w:noWrap/>
            <w:hideMark/>
          </w:tcPr>
          <w:p w14:paraId="7299D1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nil"/>
              <w:left w:val="nil"/>
              <w:bottom w:val="nil"/>
              <w:right w:val="nil"/>
            </w:tcBorders>
            <w:shd w:val="clear" w:color="000000" w:fill="FFFFFF"/>
            <w:noWrap/>
            <w:hideMark/>
          </w:tcPr>
          <w:p w14:paraId="1213100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400" w:type="dxa"/>
            <w:tcBorders>
              <w:top w:val="nil"/>
              <w:left w:val="nil"/>
              <w:bottom w:val="nil"/>
              <w:right w:val="nil"/>
            </w:tcBorders>
            <w:shd w:val="clear" w:color="000000" w:fill="FFFFFF"/>
            <w:noWrap/>
            <w:hideMark/>
          </w:tcPr>
          <w:p w14:paraId="005998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w:t>
            </w:r>
          </w:p>
        </w:tc>
        <w:tc>
          <w:tcPr>
            <w:tcW w:w="360" w:type="dxa"/>
            <w:tcBorders>
              <w:top w:val="nil"/>
              <w:left w:val="nil"/>
              <w:bottom w:val="nil"/>
              <w:right w:val="nil"/>
            </w:tcBorders>
            <w:shd w:val="clear" w:color="000000" w:fill="FFFFFF"/>
            <w:noWrap/>
            <w:hideMark/>
          </w:tcPr>
          <w:p w14:paraId="082F0D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47,6</w:t>
            </w:r>
          </w:p>
        </w:tc>
        <w:tc>
          <w:tcPr>
            <w:tcW w:w="543" w:type="dxa"/>
            <w:tcBorders>
              <w:top w:val="nil"/>
              <w:left w:val="nil"/>
              <w:bottom w:val="nil"/>
              <w:right w:val="nil"/>
            </w:tcBorders>
            <w:shd w:val="clear" w:color="000000" w:fill="FFFFFF"/>
            <w:hideMark/>
          </w:tcPr>
          <w:p w14:paraId="101E03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(9,0)</w:t>
            </w:r>
          </w:p>
        </w:tc>
        <w:tc>
          <w:tcPr>
            <w:tcW w:w="538" w:type="dxa"/>
            <w:tcBorders>
              <w:top w:val="nil"/>
              <w:left w:val="nil"/>
              <w:bottom w:val="nil"/>
              <w:right w:val="nil"/>
            </w:tcBorders>
            <w:shd w:val="clear" w:color="000000" w:fill="FFFFFF"/>
            <w:noWrap/>
            <w:hideMark/>
          </w:tcPr>
          <w:p w14:paraId="6A78A35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39,8</w:t>
            </w:r>
          </w:p>
        </w:tc>
        <w:tc>
          <w:tcPr>
            <w:tcW w:w="1325" w:type="dxa"/>
            <w:tcBorders>
              <w:top w:val="nil"/>
              <w:left w:val="nil"/>
              <w:bottom w:val="nil"/>
              <w:right w:val="nil"/>
            </w:tcBorders>
            <w:shd w:val="clear" w:color="000000" w:fill="FFFFFF"/>
            <w:noWrap/>
            <w:hideMark/>
          </w:tcPr>
          <w:p w14:paraId="311E78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ME/LUM</w:t>
            </w:r>
          </w:p>
        </w:tc>
        <w:tc>
          <w:tcPr>
            <w:tcW w:w="871" w:type="dxa"/>
            <w:tcBorders>
              <w:top w:val="nil"/>
              <w:left w:val="nil"/>
              <w:bottom w:val="nil"/>
              <w:right w:val="nil"/>
            </w:tcBorders>
            <w:shd w:val="clear" w:color="000000" w:fill="FFFFFF"/>
            <w:noWrap/>
            <w:hideMark/>
          </w:tcPr>
          <w:p w14:paraId="78FB60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nil"/>
              <w:left w:val="nil"/>
              <w:bottom w:val="nil"/>
              <w:right w:val="nil"/>
            </w:tcBorders>
            <w:shd w:val="clear" w:color="000000" w:fill="FFFFFF"/>
            <w:noWrap/>
            <w:hideMark/>
          </w:tcPr>
          <w:p w14:paraId="5EBF23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36,8</w:t>
            </w:r>
          </w:p>
        </w:tc>
        <w:tc>
          <w:tcPr>
            <w:tcW w:w="872" w:type="dxa"/>
            <w:tcBorders>
              <w:top w:val="nil"/>
              <w:left w:val="nil"/>
              <w:bottom w:val="nil"/>
              <w:right w:val="nil"/>
            </w:tcBorders>
            <w:shd w:val="clear" w:color="000000" w:fill="FFFFFF"/>
            <w:noWrap/>
            <w:hideMark/>
          </w:tcPr>
          <w:p w14:paraId="65D4CC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(49/133)</w:t>
            </w:r>
          </w:p>
        </w:tc>
        <w:tc>
          <w:tcPr>
            <w:tcW w:w="855" w:type="dxa"/>
            <w:tcBorders>
              <w:top w:val="nil"/>
              <w:left w:val="nil"/>
              <w:bottom w:val="nil"/>
              <w:right w:val="nil"/>
            </w:tcBorders>
            <w:shd w:val="clear" w:color="000000" w:fill="FFFFFF"/>
            <w:noWrap/>
            <w:hideMark/>
          </w:tcPr>
          <w:p w14:paraId="2FAD5C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&gt;6 m</w:t>
            </w:r>
          </w:p>
        </w:tc>
        <w:tc>
          <w:tcPr>
            <w:tcW w:w="360" w:type="dxa"/>
            <w:tcBorders>
              <w:top w:val="nil"/>
              <w:left w:val="nil"/>
              <w:bottom w:val="nil"/>
              <w:right w:val="nil"/>
            </w:tcBorders>
            <w:shd w:val="clear" w:color="000000" w:fill="FFFFFF"/>
            <w:noWrap/>
            <w:hideMark/>
          </w:tcPr>
          <w:p w14:paraId="28CAB6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60,9</w:t>
            </w:r>
          </w:p>
        </w:tc>
        <w:tc>
          <w:tcPr>
            <w:tcW w:w="872" w:type="dxa"/>
            <w:tcBorders>
              <w:top w:val="nil"/>
              <w:left w:val="nil"/>
              <w:bottom w:val="nil"/>
              <w:right w:val="nil"/>
            </w:tcBorders>
            <w:shd w:val="clear" w:color="000000" w:fill="FFFFFF"/>
            <w:noWrap/>
            <w:hideMark/>
          </w:tcPr>
          <w:p w14:paraId="03CE7D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(81/133)</w:t>
            </w:r>
          </w:p>
        </w:tc>
        <w:tc>
          <w:tcPr>
            <w:tcW w:w="1293" w:type="dxa"/>
            <w:tcBorders>
              <w:top w:val="nil"/>
              <w:left w:val="nil"/>
              <w:bottom w:val="nil"/>
              <w:right w:val="nil"/>
            </w:tcBorders>
            <w:shd w:val="clear" w:color="000000" w:fill="FFFFFF"/>
            <w:noWrap/>
            <w:hideMark/>
          </w:tcPr>
          <w:p w14:paraId="23C316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0E52F2F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1F3FAD0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DDA95BA" w14:textId="77777777" w:rsidTr="00CF1C1E">
        <w:trPr>
          <w:trHeight w:val="20"/>
        </w:trPr>
        <w:tc>
          <w:tcPr>
            <w:tcW w:w="1196" w:type="dxa"/>
            <w:tcBorders>
              <w:top w:val="nil"/>
              <w:left w:val="nil"/>
              <w:bottom w:val="nil"/>
              <w:right w:val="nil"/>
            </w:tcBorders>
            <w:shd w:val="clear" w:color="000000" w:fill="FFFFFF"/>
            <w:hideMark/>
          </w:tcPr>
          <w:p w14:paraId="37CE9B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0C2549A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D882A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3BCA6A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4" w:space="0" w:color="D0CECE" w:themeColor="background2" w:themeShade="E6"/>
              <w:right w:val="nil"/>
            </w:tcBorders>
            <w:shd w:val="clear" w:color="000000" w:fill="FFFFFF"/>
            <w:noWrap/>
            <w:hideMark/>
          </w:tcPr>
          <w:p w14:paraId="5F5C6E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4" w:space="0" w:color="D0CECE" w:themeColor="background2" w:themeShade="E6"/>
              <w:right w:val="nil"/>
            </w:tcBorders>
            <w:shd w:val="clear" w:color="000000" w:fill="FFFFFF"/>
            <w:noWrap/>
            <w:hideMark/>
          </w:tcPr>
          <w:p w14:paraId="78147B9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4" w:space="0" w:color="D0CECE" w:themeColor="background2" w:themeShade="E6"/>
              <w:right w:val="nil"/>
            </w:tcBorders>
            <w:shd w:val="clear" w:color="000000" w:fill="FFFFFF"/>
            <w:noWrap/>
            <w:hideMark/>
          </w:tcPr>
          <w:p w14:paraId="44D6B2D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4" w:space="0" w:color="D0CECE" w:themeColor="background2" w:themeShade="E6"/>
              <w:right w:val="nil"/>
            </w:tcBorders>
            <w:shd w:val="clear" w:color="000000" w:fill="FFFFFF"/>
            <w:hideMark/>
          </w:tcPr>
          <w:p w14:paraId="7B96B6B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4" w:space="0" w:color="D0CECE" w:themeColor="background2" w:themeShade="E6"/>
              <w:right w:val="nil"/>
            </w:tcBorders>
            <w:shd w:val="clear" w:color="000000" w:fill="FFFFFF"/>
            <w:noWrap/>
            <w:hideMark/>
          </w:tcPr>
          <w:p w14:paraId="5FED876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4" w:space="0" w:color="D0CECE" w:themeColor="background2" w:themeShade="E6"/>
              <w:right w:val="nil"/>
            </w:tcBorders>
            <w:shd w:val="clear" w:color="000000" w:fill="FFFFFF"/>
            <w:noWrap/>
            <w:hideMark/>
          </w:tcPr>
          <w:p w14:paraId="3670D90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4" w:space="0" w:color="D0CECE" w:themeColor="background2" w:themeShade="E6"/>
              <w:right w:val="nil"/>
            </w:tcBorders>
            <w:shd w:val="clear" w:color="000000" w:fill="FFFFFF"/>
            <w:noWrap/>
            <w:hideMark/>
          </w:tcPr>
          <w:p w14:paraId="2242D47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single" w:sz="4" w:space="0" w:color="D0CECE" w:themeColor="background2" w:themeShade="E6"/>
              <w:right w:val="nil"/>
            </w:tcBorders>
            <w:shd w:val="clear" w:color="000000" w:fill="FFFFFF"/>
            <w:noWrap/>
            <w:hideMark/>
          </w:tcPr>
          <w:p w14:paraId="78DE64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63,2</w:t>
            </w:r>
          </w:p>
        </w:tc>
        <w:tc>
          <w:tcPr>
            <w:tcW w:w="872" w:type="dxa"/>
            <w:tcBorders>
              <w:top w:val="nil"/>
              <w:left w:val="nil"/>
              <w:bottom w:val="single" w:sz="4" w:space="0" w:color="D0CECE" w:themeColor="background2" w:themeShade="E6"/>
              <w:right w:val="nil"/>
            </w:tcBorders>
            <w:shd w:val="clear" w:color="000000" w:fill="FFFFFF"/>
            <w:noWrap/>
            <w:hideMark/>
          </w:tcPr>
          <w:p w14:paraId="06D3983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(84/133)</w:t>
            </w:r>
          </w:p>
        </w:tc>
        <w:tc>
          <w:tcPr>
            <w:tcW w:w="855" w:type="dxa"/>
            <w:tcBorders>
              <w:top w:val="nil"/>
              <w:left w:val="nil"/>
              <w:bottom w:val="single" w:sz="4" w:space="0" w:color="D0CECE" w:themeColor="background2" w:themeShade="E6"/>
              <w:right w:val="nil"/>
            </w:tcBorders>
            <w:shd w:val="clear" w:color="000000" w:fill="FFFFFF"/>
            <w:noWrap/>
            <w:hideMark/>
          </w:tcPr>
          <w:p w14:paraId="7E8268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4" w:space="0" w:color="D0CECE" w:themeColor="background2" w:themeShade="E6"/>
              <w:right w:val="nil"/>
            </w:tcBorders>
            <w:shd w:val="clear" w:color="000000" w:fill="FFFFFF"/>
            <w:noWrap/>
            <w:hideMark/>
          </w:tcPr>
          <w:p w14:paraId="6BED8C5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4" w:space="0" w:color="D0CECE" w:themeColor="background2" w:themeShade="E6"/>
              <w:right w:val="nil"/>
            </w:tcBorders>
            <w:shd w:val="clear" w:color="000000" w:fill="FFFFFF"/>
            <w:noWrap/>
            <w:hideMark/>
          </w:tcPr>
          <w:p w14:paraId="132CF48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single" w:sz="4" w:space="0" w:color="D0CECE" w:themeColor="background2" w:themeShade="E6"/>
              <w:right w:val="nil"/>
            </w:tcBorders>
            <w:shd w:val="clear" w:color="000000" w:fill="FFFFFF"/>
            <w:noWrap/>
            <w:hideMark/>
          </w:tcPr>
          <w:p w14:paraId="3EAE28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4" w:space="0" w:color="D0CECE" w:themeColor="background2" w:themeShade="E6"/>
              <w:right w:val="nil"/>
            </w:tcBorders>
            <w:shd w:val="clear" w:color="000000" w:fill="FFFFFF"/>
            <w:noWrap/>
            <w:hideMark/>
          </w:tcPr>
          <w:p w14:paraId="3A4FC75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4" w:space="0" w:color="D0CECE" w:themeColor="background2" w:themeShade="E6"/>
              <w:right w:val="nil"/>
            </w:tcBorders>
            <w:shd w:val="clear" w:color="000000" w:fill="FFFFFF"/>
            <w:noWrap/>
            <w:hideMark/>
          </w:tcPr>
          <w:p w14:paraId="219F0DA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54F46FDE" w14:textId="77777777" w:rsidTr="00CF1C1E">
        <w:trPr>
          <w:trHeight w:val="20"/>
        </w:trPr>
        <w:tc>
          <w:tcPr>
            <w:tcW w:w="1196" w:type="dxa"/>
            <w:tcBorders>
              <w:top w:val="nil"/>
              <w:left w:val="nil"/>
              <w:bottom w:val="nil"/>
              <w:right w:val="nil"/>
            </w:tcBorders>
            <w:shd w:val="clear" w:color="000000" w:fill="FFFFFF"/>
            <w:hideMark/>
          </w:tcPr>
          <w:p w14:paraId="75AF02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5F6FB1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F0B7C1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76A47D4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single" w:sz="4" w:space="0" w:color="D0CECE" w:themeColor="background2" w:themeShade="E6"/>
              <w:left w:val="nil"/>
              <w:bottom w:val="nil"/>
              <w:right w:val="nil"/>
            </w:tcBorders>
            <w:shd w:val="clear" w:color="000000" w:fill="FFFFFF"/>
            <w:noWrap/>
            <w:hideMark/>
          </w:tcPr>
          <w:p w14:paraId="1F6727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OXN</w:t>
            </w:r>
          </w:p>
        </w:tc>
        <w:tc>
          <w:tcPr>
            <w:tcW w:w="400" w:type="dxa"/>
            <w:tcBorders>
              <w:top w:val="single" w:sz="4" w:space="0" w:color="D0CECE" w:themeColor="background2" w:themeShade="E6"/>
              <w:left w:val="nil"/>
              <w:bottom w:val="nil"/>
              <w:right w:val="nil"/>
            </w:tcBorders>
            <w:shd w:val="clear" w:color="000000" w:fill="FFFFFF"/>
            <w:noWrap/>
            <w:hideMark/>
          </w:tcPr>
          <w:p w14:paraId="537535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128</w:t>
            </w:r>
          </w:p>
        </w:tc>
        <w:tc>
          <w:tcPr>
            <w:tcW w:w="360" w:type="dxa"/>
            <w:tcBorders>
              <w:top w:val="single" w:sz="4" w:space="0" w:color="D0CECE" w:themeColor="background2" w:themeShade="E6"/>
              <w:left w:val="nil"/>
              <w:bottom w:val="nil"/>
              <w:right w:val="nil"/>
            </w:tcBorders>
            <w:shd w:val="clear" w:color="000000" w:fill="FFFFFF"/>
            <w:noWrap/>
            <w:hideMark/>
          </w:tcPr>
          <w:p w14:paraId="529ECC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46,3</w:t>
            </w:r>
          </w:p>
        </w:tc>
        <w:tc>
          <w:tcPr>
            <w:tcW w:w="543" w:type="dxa"/>
            <w:tcBorders>
              <w:top w:val="single" w:sz="4" w:space="0" w:color="D0CECE" w:themeColor="background2" w:themeShade="E6"/>
              <w:left w:val="nil"/>
              <w:bottom w:val="nil"/>
              <w:right w:val="nil"/>
            </w:tcBorders>
            <w:shd w:val="clear" w:color="000000" w:fill="FFFFFF"/>
            <w:hideMark/>
          </w:tcPr>
          <w:p w14:paraId="311BE77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(10,2)</w:t>
            </w:r>
          </w:p>
        </w:tc>
        <w:tc>
          <w:tcPr>
            <w:tcW w:w="538" w:type="dxa"/>
            <w:tcBorders>
              <w:top w:val="single" w:sz="4" w:space="0" w:color="D0CECE" w:themeColor="background2" w:themeShade="E6"/>
              <w:left w:val="nil"/>
              <w:bottom w:val="nil"/>
              <w:right w:val="nil"/>
            </w:tcBorders>
            <w:shd w:val="clear" w:color="000000" w:fill="FFFFFF"/>
            <w:noWrap/>
            <w:hideMark/>
          </w:tcPr>
          <w:p w14:paraId="168BB0E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41,4</w:t>
            </w:r>
          </w:p>
        </w:tc>
        <w:tc>
          <w:tcPr>
            <w:tcW w:w="1325" w:type="dxa"/>
            <w:tcBorders>
              <w:top w:val="single" w:sz="4" w:space="0" w:color="D0CECE" w:themeColor="background2" w:themeShade="E6"/>
              <w:left w:val="nil"/>
              <w:bottom w:val="nil"/>
              <w:right w:val="nil"/>
            </w:tcBorders>
            <w:shd w:val="clear" w:color="000000" w:fill="FFFFFF"/>
            <w:noWrap/>
            <w:hideMark/>
          </w:tcPr>
          <w:p w14:paraId="080F2E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ME/LUM</w:t>
            </w:r>
          </w:p>
        </w:tc>
        <w:tc>
          <w:tcPr>
            <w:tcW w:w="871" w:type="dxa"/>
            <w:tcBorders>
              <w:top w:val="single" w:sz="4" w:space="0" w:color="D0CECE" w:themeColor="background2" w:themeShade="E6"/>
              <w:left w:val="nil"/>
              <w:bottom w:val="nil"/>
              <w:right w:val="nil"/>
            </w:tcBorders>
            <w:shd w:val="clear" w:color="000000" w:fill="FFFFFF"/>
            <w:noWrap/>
            <w:hideMark/>
          </w:tcPr>
          <w:p w14:paraId="4981F7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4" w:space="0" w:color="D0CECE" w:themeColor="background2" w:themeShade="E6"/>
              <w:left w:val="nil"/>
              <w:bottom w:val="nil"/>
              <w:right w:val="nil"/>
            </w:tcBorders>
            <w:shd w:val="clear" w:color="000000" w:fill="FFFFFF"/>
            <w:noWrap/>
            <w:hideMark/>
          </w:tcPr>
          <w:p w14:paraId="1A06DB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46,9</w:t>
            </w:r>
          </w:p>
        </w:tc>
        <w:tc>
          <w:tcPr>
            <w:tcW w:w="872" w:type="dxa"/>
            <w:tcBorders>
              <w:top w:val="single" w:sz="4" w:space="0" w:color="D0CECE" w:themeColor="background2" w:themeShade="E6"/>
              <w:left w:val="nil"/>
              <w:bottom w:val="nil"/>
              <w:right w:val="nil"/>
            </w:tcBorders>
            <w:shd w:val="clear" w:color="000000" w:fill="FFFFFF"/>
            <w:noWrap/>
            <w:hideMark/>
          </w:tcPr>
          <w:p w14:paraId="142AEC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(60/128)</w:t>
            </w:r>
          </w:p>
        </w:tc>
        <w:tc>
          <w:tcPr>
            <w:tcW w:w="855" w:type="dxa"/>
            <w:tcBorders>
              <w:top w:val="single" w:sz="4" w:space="0" w:color="D0CECE" w:themeColor="background2" w:themeShade="E6"/>
              <w:left w:val="nil"/>
              <w:bottom w:val="nil"/>
              <w:right w:val="nil"/>
            </w:tcBorders>
            <w:shd w:val="clear" w:color="000000" w:fill="FFFFFF"/>
            <w:noWrap/>
            <w:hideMark/>
          </w:tcPr>
          <w:p w14:paraId="4DD0862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&gt;6 m</w:t>
            </w:r>
          </w:p>
        </w:tc>
        <w:tc>
          <w:tcPr>
            <w:tcW w:w="360" w:type="dxa"/>
            <w:tcBorders>
              <w:top w:val="single" w:sz="4" w:space="0" w:color="D0CECE" w:themeColor="background2" w:themeShade="E6"/>
              <w:left w:val="nil"/>
              <w:bottom w:val="nil"/>
              <w:right w:val="nil"/>
            </w:tcBorders>
            <w:shd w:val="clear" w:color="000000" w:fill="FFFFFF"/>
            <w:noWrap/>
            <w:hideMark/>
          </w:tcPr>
          <w:p w14:paraId="53B6A3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60,2</w:t>
            </w:r>
          </w:p>
        </w:tc>
        <w:tc>
          <w:tcPr>
            <w:tcW w:w="872" w:type="dxa"/>
            <w:tcBorders>
              <w:top w:val="single" w:sz="4" w:space="0" w:color="D0CECE" w:themeColor="background2" w:themeShade="E6"/>
              <w:left w:val="nil"/>
              <w:bottom w:val="nil"/>
              <w:right w:val="nil"/>
            </w:tcBorders>
            <w:shd w:val="clear" w:color="000000" w:fill="FFFFFF"/>
            <w:noWrap/>
            <w:hideMark/>
          </w:tcPr>
          <w:p w14:paraId="209C64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(77/128)</w:t>
            </w:r>
          </w:p>
        </w:tc>
        <w:tc>
          <w:tcPr>
            <w:tcW w:w="1293" w:type="dxa"/>
            <w:tcBorders>
              <w:top w:val="single" w:sz="4" w:space="0" w:color="D0CECE" w:themeColor="background2" w:themeShade="E6"/>
              <w:left w:val="nil"/>
              <w:bottom w:val="nil"/>
              <w:right w:val="nil"/>
            </w:tcBorders>
            <w:shd w:val="clear" w:color="000000" w:fill="FFFFFF"/>
            <w:noWrap/>
            <w:hideMark/>
          </w:tcPr>
          <w:p w14:paraId="2AC5A2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4" w:space="0" w:color="D0CECE" w:themeColor="background2" w:themeShade="E6"/>
              <w:left w:val="nil"/>
              <w:bottom w:val="nil"/>
              <w:right w:val="nil"/>
            </w:tcBorders>
            <w:shd w:val="clear" w:color="000000" w:fill="FFFFFF"/>
            <w:noWrap/>
            <w:hideMark/>
          </w:tcPr>
          <w:p w14:paraId="7AE7DC7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single" w:sz="4" w:space="0" w:color="D0CECE" w:themeColor="background2" w:themeShade="E6"/>
              <w:left w:val="nil"/>
              <w:bottom w:val="nil"/>
              <w:right w:val="nil"/>
            </w:tcBorders>
            <w:shd w:val="clear" w:color="000000" w:fill="FFFFFF"/>
            <w:noWrap/>
            <w:hideMark/>
          </w:tcPr>
          <w:p w14:paraId="2C019D1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5F6597C6" w14:textId="77777777" w:rsidTr="00CF1C1E">
        <w:trPr>
          <w:trHeight w:val="20"/>
        </w:trPr>
        <w:tc>
          <w:tcPr>
            <w:tcW w:w="1196" w:type="dxa"/>
            <w:tcBorders>
              <w:top w:val="nil"/>
              <w:left w:val="nil"/>
              <w:bottom w:val="single" w:sz="8" w:space="0" w:color="auto"/>
              <w:right w:val="nil"/>
            </w:tcBorders>
            <w:shd w:val="clear" w:color="000000" w:fill="FFFFFF"/>
            <w:hideMark/>
          </w:tcPr>
          <w:p w14:paraId="407482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0CA9C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7D77D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710079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3A5096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40BD314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3517D0E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DB4ECA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50E897B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0612274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017954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nil"/>
              <w:right w:val="nil"/>
            </w:tcBorders>
            <w:shd w:val="clear" w:color="000000" w:fill="FFFFFF"/>
            <w:noWrap/>
            <w:hideMark/>
          </w:tcPr>
          <w:p w14:paraId="26A552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53,1</w:t>
            </w:r>
          </w:p>
        </w:tc>
        <w:tc>
          <w:tcPr>
            <w:tcW w:w="872" w:type="dxa"/>
            <w:tcBorders>
              <w:top w:val="nil"/>
              <w:left w:val="nil"/>
              <w:bottom w:val="nil"/>
              <w:right w:val="nil"/>
            </w:tcBorders>
            <w:shd w:val="clear" w:color="000000" w:fill="FFFFFF"/>
            <w:noWrap/>
            <w:hideMark/>
          </w:tcPr>
          <w:p w14:paraId="2F4837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(68/128)</w:t>
            </w:r>
          </w:p>
        </w:tc>
        <w:tc>
          <w:tcPr>
            <w:tcW w:w="855" w:type="dxa"/>
            <w:tcBorders>
              <w:top w:val="nil"/>
              <w:left w:val="nil"/>
              <w:bottom w:val="nil"/>
              <w:right w:val="nil"/>
            </w:tcBorders>
            <w:shd w:val="clear" w:color="000000" w:fill="FFFFFF"/>
            <w:noWrap/>
            <w:hideMark/>
          </w:tcPr>
          <w:p w14:paraId="0075AE2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3DA6F2F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48C4837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nil"/>
              <w:right w:val="nil"/>
            </w:tcBorders>
            <w:shd w:val="clear" w:color="000000" w:fill="FFFFFF"/>
            <w:noWrap/>
            <w:hideMark/>
          </w:tcPr>
          <w:p w14:paraId="35F3D4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663C757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3874441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36D2AACD" w14:textId="77777777" w:rsidTr="00CF1C1E">
        <w:trPr>
          <w:trHeight w:val="20"/>
        </w:trPr>
        <w:tc>
          <w:tcPr>
            <w:tcW w:w="1196" w:type="dxa"/>
            <w:tcBorders>
              <w:top w:val="nil"/>
              <w:left w:val="nil"/>
              <w:bottom w:val="nil"/>
              <w:right w:val="nil"/>
            </w:tcBorders>
            <w:shd w:val="clear" w:color="000000" w:fill="FFFFFF"/>
            <w:hideMark/>
          </w:tcPr>
          <w:p w14:paraId="577C6A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Samolsky</w:t>
            </w:r>
            <w:proofErr w:type="spellEnd"/>
            <w:r w:rsidRPr="00367BEC">
              <w:rPr>
                <w:rFonts w:ascii="Times New Roman" w:hAnsi="Times New Roman"/>
                <w:color w:val="000000"/>
                <w:sz w:val="16"/>
              </w:rPr>
              <w:t xml:space="preserve"> 2015</w:t>
            </w:r>
          </w:p>
        </w:tc>
        <w:tc>
          <w:tcPr>
            <w:tcW w:w="676" w:type="dxa"/>
            <w:tcBorders>
              <w:top w:val="single" w:sz="8" w:space="0" w:color="auto"/>
              <w:left w:val="nil"/>
              <w:bottom w:val="nil"/>
              <w:right w:val="nil"/>
            </w:tcBorders>
            <w:shd w:val="clear" w:color="000000" w:fill="FFFFFF"/>
            <w:noWrap/>
            <w:hideMark/>
          </w:tcPr>
          <w:p w14:paraId="5B0366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Italia</w:t>
            </w:r>
          </w:p>
        </w:tc>
        <w:tc>
          <w:tcPr>
            <w:tcW w:w="628" w:type="dxa"/>
            <w:tcBorders>
              <w:top w:val="single" w:sz="8" w:space="0" w:color="auto"/>
              <w:left w:val="nil"/>
              <w:bottom w:val="nil"/>
              <w:right w:val="nil"/>
            </w:tcBorders>
            <w:shd w:val="clear" w:color="000000" w:fill="FFFFFF"/>
            <w:noWrap/>
            <w:hideMark/>
          </w:tcPr>
          <w:p w14:paraId="2C9116C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single" w:sz="8" w:space="0" w:color="auto"/>
              <w:left w:val="nil"/>
              <w:bottom w:val="nil"/>
              <w:right w:val="nil"/>
            </w:tcBorders>
            <w:shd w:val="clear" w:color="000000" w:fill="FFFFFF"/>
            <w:noWrap/>
            <w:hideMark/>
          </w:tcPr>
          <w:p w14:paraId="552380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nil"/>
              <w:right w:val="nil"/>
            </w:tcBorders>
            <w:shd w:val="clear" w:color="000000" w:fill="FFFFFF"/>
            <w:noWrap/>
            <w:hideMark/>
          </w:tcPr>
          <w:p w14:paraId="4E1893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8" w:space="0" w:color="auto"/>
              <w:left w:val="nil"/>
              <w:bottom w:val="nil"/>
              <w:right w:val="nil"/>
            </w:tcBorders>
            <w:shd w:val="clear" w:color="000000" w:fill="FFFFFF"/>
            <w:noWrap/>
            <w:hideMark/>
          </w:tcPr>
          <w:p w14:paraId="1FCD25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w:t>
            </w:r>
          </w:p>
        </w:tc>
        <w:tc>
          <w:tcPr>
            <w:tcW w:w="360" w:type="dxa"/>
            <w:tcBorders>
              <w:top w:val="single" w:sz="8" w:space="0" w:color="auto"/>
              <w:left w:val="nil"/>
              <w:bottom w:val="nil"/>
              <w:right w:val="nil"/>
            </w:tcBorders>
            <w:shd w:val="clear" w:color="000000" w:fill="FFFFFF"/>
            <w:noWrap/>
            <w:hideMark/>
          </w:tcPr>
          <w:p w14:paraId="1C281E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72,5</w:t>
            </w:r>
          </w:p>
        </w:tc>
        <w:tc>
          <w:tcPr>
            <w:tcW w:w="543" w:type="dxa"/>
            <w:tcBorders>
              <w:top w:val="single" w:sz="8" w:space="0" w:color="auto"/>
              <w:left w:val="nil"/>
              <w:bottom w:val="nil"/>
              <w:right w:val="nil"/>
            </w:tcBorders>
            <w:shd w:val="clear" w:color="000000" w:fill="FFFFFF"/>
            <w:hideMark/>
          </w:tcPr>
          <w:p w14:paraId="4A3804E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(13,6)</w:t>
            </w:r>
          </w:p>
        </w:tc>
        <w:tc>
          <w:tcPr>
            <w:tcW w:w="538" w:type="dxa"/>
            <w:tcBorders>
              <w:top w:val="single" w:sz="8" w:space="0" w:color="auto"/>
              <w:left w:val="nil"/>
              <w:bottom w:val="nil"/>
              <w:right w:val="nil"/>
            </w:tcBorders>
            <w:shd w:val="clear" w:color="000000" w:fill="FFFFFF"/>
            <w:noWrap/>
            <w:hideMark/>
          </w:tcPr>
          <w:p w14:paraId="621FF2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34,0</w:t>
            </w:r>
          </w:p>
        </w:tc>
        <w:tc>
          <w:tcPr>
            <w:tcW w:w="1325" w:type="dxa"/>
            <w:tcBorders>
              <w:top w:val="single" w:sz="8" w:space="0" w:color="auto"/>
              <w:left w:val="nil"/>
              <w:bottom w:val="nil"/>
              <w:right w:val="nil"/>
            </w:tcBorders>
            <w:shd w:val="clear" w:color="000000" w:fill="FFFFFF"/>
            <w:hideMark/>
          </w:tcPr>
          <w:p w14:paraId="7EB430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Dolor no debido al cáncer</w:t>
            </w:r>
          </w:p>
        </w:tc>
        <w:tc>
          <w:tcPr>
            <w:tcW w:w="871" w:type="dxa"/>
            <w:tcBorders>
              <w:top w:val="single" w:sz="8" w:space="0" w:color="auto"/>
              <w:left w:val="nil"/>
              <w:bottom w:val="nil"/>
              <w:right w:val="nil"/>
            </w:tcBorders>
            <w:shd w:val="clear" w:color="000000" w:fill="FFFFFF"/>
            <w:noWrap/>
            <w:hideMark/>
          </w:tcPr>
          <w:p w14:paraId="61BFC9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8" w:space="0" w:color="auto"/>
              <w:left w:val="nil"/>
              <w:bottom w:val="nil"/>
              <w:right w:val="nil"/>
            </w:tcBorders>
            <w:shd w:val="clear" w:color="000000" w:fill="FFFFFF"/>
            <w:noWrap/>
            <w:hideMark/>
          </w:tcPr>
          <w:p w14:paraId="159EA4E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8" w:space="0" w:color="auto"/>
              <w:left w:val="nil"/>
              <w:bottom w:val="nil"/>
              <w:right w:val="nil"/>
            </w:tcBorders>
            <w:shd w:val="clear" w:color="000000" w:fill="FFFFFF"/>
            <w:noWrap/>
            <w:hideMark/>
          </w:tcPr>
          <w:p w14:paraId="0227F62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single" w:sz="8" w:space="0" w:color="auto"/>
              <w:left w:val="nil"/>
              <w:bottom w:val="nil"/>
              <w:right w:val="nil"/>
            </w:tcBorders>
            <w:shd w:val="clear" w:color="000000" w:fill="FFFFFF"/>
            <w:noWrap/>
            <w:hideMark/>
          </w:tcPr>
          <w:p w14:paraId="521AE2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&lt;3 m</w:t>
            </w:r>
          </w:p>
        </w:tc>
        <w:tc>
          <w:tcPr>
            <w:tcW w:w="360" w:type="dxa"/>
            <w:tcBorders>
              <w:top w:val="single" w:sz="8" w:space="0" w:color="auto"/>
              <w:left w:val="nil"/>
              <w:bottom w:val="nil"/>
              <w:right w:val="nil"/>
            </w:tcBorders>
            <w:shd w:val="clear" w:color="000000" w:fill="FFFFFF"/>
            <w:noWrap/>
            <w:hideMark/>
          </w:tcPr>
          <w:p w14:paraId="6C687D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7,0</w:t>
            </w:r>
          </w:p>
        </w:tc>
        <w:tc>
          <w:tcPr>
            <w:tcW w:w="872" w:type="dxa"/>
            <w:tcBorders>
              <w:top w:val="single" w:sz="8" w:space="0" w:color="auto"/>
              <w:left w:val="nil"/>
              <w:bottom w:val="nil"/>
              <w:right w:val="nil"/>
            </w:tcBorders>
            <w:shd w:val="clear" w:color="000000" w:fill="FFFFFF"/>
            <w:noWrap/>
            <w:hideMark/>
          </w:tcPr>
          <w:p w14:paraId="7F9B5E2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(2/30)</w:t>
            </w:r>
          </w:p>
        </w:tc>
        <w:tc>
          <w:tcPr>
            <w:tcW w:w="1293" w:type="dxa"/>
            <w:tcBorders>
              <w:top w:val="single" w:sz="8" w:space="0" w:color="auto"/>
              <w:left w:val="nil"/>
              <w:bottom w:val="nil"/>
              <w:right w:val="nil"/>
            </w:tcBorders>
            <w:shd w:val="clear" w:color="000000" w:fill="FFFFFF"/>
            <w:noWrap/>
            <w:hideMark/>
          </w:tcPr>
          <w:p w14:paraId="0677786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single" w:sz="8" w:space="0" w:color="auto"/>
              <w:left w:val="nil"/>
              <w:bottom w:val="nil"/>
              <w:right w:val="nil"/>
            </w:tcBorders>
            <w:shd w:val="clear" w:color="000000" w:fill="FFFFFF"/>
            <w:noWrap/>
            <w:hideMark/>
          </w:tcPr>
          <w:p w14:paraId="3052BB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43,3</w:t>
            </w:r>
          </w:p>
        </w:tc>
        <w:tc>
          <w:tcPr>
            <w:tcW w:w="1287" w:type="dxa"/>
            <w:gridSpan w:val="2"/>
            <w:tcBorders>
              <w:top w:val="nil"/>
              <w:left w:val="nil"/>
              <w:bottom w:val="nil"/>
              <w:right w:val="nil"/>
            </w:tcBorders>
            <w:shd w:val="clear" w:color="000000" w:fill="FFFFFF"/>
            <w:noWrap/>
            <w:hideMark/>
          </w:tcPr>
          <w:p w14:paraId="70EFB3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13</w:t>
            </w:r>
            <w:r w:rsidRPr="00367BEC">
              <w:rPr>
                <w:rFonts w:ascii="Times New Roman" w:hAnsi="Times New Roman"/>
                <w:color w:val="000000"/>
                <w:sz w:val="16"/>
              </w:rPr>
              <w:t>/30)</w:t>
            </w:r>
          </w:p>
        </w:tc>
      </w:tr>
      <w:tr w:rsidR="002E4D99" w:rsidRPr="00367BEC" w14:paraId="51EA0263" w14:textId="77777777" w:rsidTr="00CF1C1E">
        <w:trPr>
          <w:trHeight w:val="20"/>
        </w:trPr>
        <w:tc>
          <w:tcPr>
            <w:tcW w:w="1196" w:type="dxa"/>
            <w:tcBorders>
              <w:top w:val="nil"/>
              <w:left w:val="nil"/>
              <w:bottom w:val="nil"/>
              <w:right w:val="nil"/>
            </w:tcBorders>
            <w:shd w:val="clear" w:color="000000" w:fill="FFFFFF"/>
            <w:hideMark/>
          </w:tcPr>
          <w:p w14:paraId="4AEF4B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93AA1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3951A8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CACAA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57046B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5FADF7B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3005B27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59BC6B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2423F5C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1298F1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(64,0 % ME/LUM)</w:t>
            </w:r>
          </w:p>
        </w:tc>
        <w:tc>
          <w:tcPr>
            <w:tcW w:w="871" w:type="dxa"/>
            <w:tcBorders>
              <w:top w:val="nil"/>
              <w:left w:val="nil"/>
              <w:bottom w:val="nil"/>
              <w:right w:val="nil"/>
            </w:tcBorders>
            <w:shd w:val="clear" w:color="000000" w:fill="FFFFFF"/>
            <w:noWrap/>
            <w:hideMark/>
          </w:tcPr>
          <w:p w14:paraId="10772C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7043CB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89B366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45826D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 m</w:t>
            </w:r>
          </w:p>
        </w:tc>
        <w:tc>
          <w:tcPr>
            <w:tcW w:w="360" w:type="dxa"/>
            <w:tcBorders>
              <w:top w:val="nil"/>
              <w:left w:val="nil"/>
              <w:bottom w:val="nil"/>
              <w:right w:val="nil"/>
            </w:tcBorders>
            <w:shd w:val="clear" w:color="000000" w:fill="FFFFFF"/>
            <w:noWrap/>
            <w:hideMark/>
          </w:tcPr>
          <w:p w14:paraId="37A9D3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17,0</w:t>
            </w:r>
          </w:p>
        </w:tc>
        <w:tc>
          <w:tcPr>
            <w:tcW w:w="872" w:type="dxa"/>
            <w:tcBorders>
              <w:top w:val="nil"/>
              <w:left w:val="nil"/>
              <w:bottom w:val="nil"/>
              <w:right w:val="nil"/>
            </w:tcBorders>
            <w:shd w:val="clear" w:color="000000" w:fill="FFFFFF"/>
            <w:noWrap/>
            <w:hideMark/>
          </w:tcPr>
          <w:p w14:paraId="0912DD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(5/30)</w:t>
            </w:r>
          </w:p>
        </w:tc>
        <w:tc>
          <w:tcPr>
            <w:tcW w:w="1293" w:type="dxa"/>
            <w:tcBorders>
              <w:top w:val="nil"/>
              <w:left w:val="nil"/>
              <w:bottom w:val="nil"/>
              <w:right w:val="nil"/>
            </w:tcBorders>
            <w:shd w:val="clear" w:color="000000" w:fill="FFFFFF"/>
            <w:noWrap/>
            <w:hideMark/>
          </w:tcPr>
          <w:p w14:paraId="33CB95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2445E43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28514C5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D1DDA0B" w14:textId="77777777" w:rsidTr="00CF1C1E">
        <w:trPr>
          <w:trHeight w:val="20"/>
        </w:trPr>
        <w:tc>
          <w:tcPr>
            <w:tcW w:w="1196" w:type="dxa"/>
            <w:tcBorders>
              <w:top w:val="nil"/>
              <w:left w:val="nil"/>
              <w:bottom w:val="single" w:sz="8" w:space="0" w:color="auto"/>
              <w:right w:val="nil"/>
            </w:tcBorders>
            <w:shd w:val="clear" w:color="000000" w:fill="FFFFFF"/>
            <w:hideMark/>
          </w:tcPr>
          <w:p w14:paraId="196A81E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26076B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5C1E6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7AB11DE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77D576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533758A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0D514F0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0352384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0446E3F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8" w:space="0" w:color="000000"/>
              <w:right w:val="nil"/>
            </w:tcBorders>
            <w:shd w:val="clear" w:color="000000" w:fill="FFFFFF"/>
            <w:hideMark/>
          </w:tcPr>
          <w:p w14:paraId="2EA4A6E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7DA45F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5F36FA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70FCC8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04258BD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&gt;12m</w:t>
            </w:r>
          </w:p>
        </w:tc>
        <w:tc>
          <w:tcPr>
            <w:tcW w:w="360" w:type="dxa"/>
            <w:tcBorders>
              <w:top w:val="nil"/>
              <w:left w:val="nil"/>
              <w:bottom w:val="nil"/>
              <w:right w:val="nil"/>
            </w:tcBorders>
            <w:shd w:val="clear" w:color="000000" w:fill="FFFFFF"/>
            <w:noWrap/>
            <w:hideMark/>
          </w:tcPr>
          <w:p w14:paraId="2F719CA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77,0</w:t>
            </w:r>
          </w:p>
        </w:tc>
        <w:tc>
          <w:tcPr>
            <w:tcW w:w="872" w:type="dxa"/>
            <w:tcBorders>
              <w:top w:val="nil"/>
              <w:left w:val="nil"/>
              <w:bottom w:val="nil"/>
              <w:right w:val="nil"/>
            </w:tcBorders>
            <w:shd w:val="clear" w:color="000000" w:fill="FFFFFF"/>
            <w:noWrap/>
            <w:hideMark/>
          </w:tcPr>
          <w:p w14:paraId="34948B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(23/30)</w:t>
            </w:r>
          </w:p>
        </w:tc>
        <w:tc>
          <w:tcPr>
            <w:tcW w:w="1293" w:type="dxa"/>
            <w:tcBorders>
              <w:top w:val="nil"/>
              <w:left w:val="nil"/>
              <w:bottom w:val="nil"/>
              <w:right w:val="nil"/>
            </w:tcBorders>
            <w:shd w:val="clear" w:color="000000" w:fill="FFFFFF"/>
            <w:noWrap/>
            <w:hideMark/>
          </w:tcPr>
          <w:p w14:paraId="41AC915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144FCB5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54376B5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322BE5CC" w14:textId="77777777" w:rsidTr="00CF1C1E">
        <w:trPr>
          <w:trHeight w:val="20"/>
        </w:trPr>
        <w:tc>
          <w:tcPr>
            <w:tcW w:w="1196" w:type="dxa"/>
            <w:tcBorders>
              <w:top w:val="nil"/>
              <w:left w:val="nil"/>
              <w:bottom w:val="nil"/>
              <w:right w:val="nil"/>
            </w:tcBorders>
            <w:shd w:val="clear" w:color="000000" w:fill="FFFFFF"/>
            <w:hideMark/>
          </w:tcPr>
          <w:p w14:paraId="2D42D8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Strick</w:t>
            </w:r>
            <w:proofErr w:type="spellEnd"/>
            <w:r w:rsidRPr="00367BEC">
              <w:rPr>
                <w:rFonts w:ascii="Times New Roman" w:hAnsi="Times New Roman"/>
                <w:color w:val="000000"/>
                <w:sz w:val="16"/>
              </w:rPr>
              <w:t xml:space="preserve"> 2014</w:t>
            </w:r>
          </w:p>
        </w:tc>
        <w:tc>
          <w:tcPr>
            <w:tcW w:w="676" w:type="dxa"/>
            <w:tcBorders>
              <w:top w:val="single" w:sz="8" w:space="0" w:color="auto"/>
              <w:left w:val="nil"/>
              <w:bottom w:val="nil"/>
              <w:right w:val="nil"/>
            </w:tcBorders>
            <w:shd w:val="clear" w:color="000000" w:fill="FFFFFF"/>
            <w:noWrap/>
            <w:hideMark/>
          </w:tcPr>
          <w:p w14:paraId="7872AE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Alemania</w:t>
            </w:r>
          </w:p>
        </w:tc>
        <w:tc>
          <w:tcPr>
            <w:tcW w:w="628" w:type="dxa"/>
            <w:tcBorders>
              <w:top w:val="single" w:sz="8" w:space="0" w:color="auto"/>
              <w:left w:val="nil"/>
              <w:bottom w:val="nil"/>
              <w:right w:val="nil"/>
            </w:tcBorders>
            <w:shd w:val="clear" w:color="000000" w:fill="FFFFFF"/>
            <w:noWrap/>
            <w:hideMark/>
          </w:tcPr>
          <w:p w14:paraId="628AA7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single" w:sz="8" w:space="0" w:color="auto"/>
              <w:left w:val="nil"/>
              <w:bottom w:val="nil"/>
              <w:right w:val="nil"/>
            </w:tcBorders>
            <w:shd w:val="clear" w:color="000000" w:fill="FFFFFF"/>
            <w:noWrap/>
            <w:hideMark/>
          </w:tcPr>
          <w:p w14:paraId="7C4B56E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nil"/>
              <w:right w:val="nil"/>
            </w:tcBorders>
            <w:shd w:val="clear" w:color="000000" w:fill="FFFFFF"/>
            <w:hideMark/>
          </w:tcPr>
          <w:p w14:paraId="715154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8" w:space="0" w:color="auto"/>
              <w:left w:val="nil"/>
              <w:bottom w:val="nil"/>
              <w:right w:val="nil"/>
            </w:tcBorders>
            <w:shd w:val="clear" w:color="000000" w:fill="FFFFFF"/>
            <w:noWrap/>
            <w:hideMark/>
          </w:tcPr>
          <w:p w14:paraId="581AED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1457</w:t>
            </w:r>
          </w:p>
        </w:tc>
        <w:tc>
          <w:tcPr>
            <w:tcW w:w="360" w:type="dxa"/>
            <w:tcBorders>
              <w:top w:val="single" w:sz="8" w:space="0" w:color="auto"/>
              <w:left w:val="nil"/>
              <w:bottom w:val="nil"/>
              <w:right w:val="nil"/>
            </w:tcBorders>
            <w:shd w:val="clear" w:color="000000" w:fill="FFFFFF"/>
            <w:noWrap/>
            <w:hideMark/>
          </w:tcPr>
          <w:p w14:paraId="1C1818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61,2</w:t>
            </w:r>
          </w:p>
        </w:tc>
        <w:tc>
          <w:tcPr>
            <w:tcW w:w="543" w:type="dxa"/>
            <w:tcBorders>
              <w:top w:val="single" w:sz="8" w:space="0" w:color="auto"/>
              <w:left w:val="nil"/>
              <w:bottom w:val="nil"/>
              <w:right w:val="nil"/>
            </w:tcBorders>
            <w:shd w:val="clear" w:color="000000" w:fill="FFFFFF"/>
            <w:hideMark/>
          </w:tcPr>
          <w:p w14:paraId="636774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(13,0)</w:t>
            </w:r>
          </w:p>
        </w:tc>
        <w:tc>
          <w:tcPr>
            <w:tcW w:w="538" w:type="dxa"/>
            <w:tcBorders>
              <w:top w:val="single" w:sz="8" w:space="0" w:color="auto"/>
              <w:left w:val="nil"/>
              <w:bottom w:val="nil"/>
              <w:right w:val="nil"/>
            </w:tcBorders>
            <w:shd w:val="clear" w:color="000000" w:fill="FFFFFF"/>
            <w:noWrap/>
            <w:hideMark/>
          </w:tcPr>
          <w:p w14:paraId="12E3475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37,5</w:t>
            </w:r>
          </w:p>
        </w:tc>
        <w:tc>
          <w:tcPr>
            <w:tcW w:w="1325" w:type="dxa"/>
            <w:tcBorders>
              <w:top w:val="nil"/>
              <w:left w:val="nil"/>
              <w:bottom w:val="nil"/>
              <w:right w:val="nil"/>
            </w:tcBorders>
            <w:shd w:val="clear" w:color="000000" w:fill="FFFFFF"/>
            <w:hideMark/>
          </w:tcPr>
          <w:p w14:paraId="3433AB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Dolor</w:t>
            </w:r>
          </w:p>
        </w:tc>
        <w:tc>
          <w:tcPr>
            <w:tcW w:w="871" w:type="dxa"/>
            <w:tcBorders>
              <w:top w:val="single" w:sz="8" w:space="0" w:color="auto"/>
              <w:left w:val="nil"/>
              <w:bottom w:val="nil"/>
              <w:right w:val="nil"/>
            </w:tcBorders>
            <w:shd w:val="clear" w:color="000000" w:fill="FFFFFF"/>
            <w:noWrap/>
            <w:hideMark/>
          </w:tcPr>
          <w:p w14:paraId="3D3E3C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nil"/>
              <w:right w:val="nil"/>
            </w:tcBorders>
            <w:shd w:val="clear" w:color="000000" w:fill="FFFFFF"/>
            <w:noWrap/>
            <w:hideMark/>
          </w:tcPr>
          <w:p w14:paraId="17A0EA9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w:t>
            </w:r>
          </w:p>
        </w:tc>
        <w:tc>
          <w:tcPr>
            <w:tcW w:w="872" w:type="dxa"/>
            <w:tcBorders>
              <w:top w:val="single" w:sz="8" w:space="0" w:color="auto"/>
              <w:left w:val="nil"/>
              <w:bottom w:val="nil"/>
              <w:right w:val="nil"/>
            </w:tcBorders>
            <w:shd w:val="clear" w:color="000000" w:fill="FFFFFF"/>
            <w:noWrap/>
            <w:hideMark/>
          </w:tcPr>
          <w:p w14:paraId="1354067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(94/1457)</w:t>
            </w:r>
          </w:p>
        </w:tc>
        <w:tc>
          <w:tcPr>
            <w:tcW w:w="855" w:type="dxa"/>
            <w:tcBorders>
              <w:top w:val="single" w:sz="8" w:space="0" w:color="auto"/>
              <w:left w:val="nil"/>
              <w:bottom w:val="nil"/>
              <w:right w:val="nil"/>
            </w:tcBorders>
            <w:shd w:val="clear" w:color="000000" w:fill="FFFFFF"/>
            <w:noWrap/>
            <w:hideMark/>
          </w:tcPr>
          <w:p w14:paraId="198896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&lt;1-3 m</w:t>
            </w:r>
          </w:p>
        </w:tc>
        <w:tc>
          <w:tcPr>
            <w:tcW w:w="360" w:type="dxa"/>
            <w:tcBorders>
              <w:top w:val="single" w:sz="8" w:space="0" w:color="auto"/>
              <w:left w:val="nil"/>
              <w:bottom w:val="nil"/>
              <w:right w:val="nil"/>
            </w:tcBorders>
            <w:shd w:val="clear" w:color="000000" w:fill="FFFFFF"/>
            <w:noWrap/>
            <w:hideMark/>
          </w:tcPr>
          <w:p w14:paraId="27FF27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w:t>
            </w:r>
          </w:p>
        </w:tc>
        <w:tc>
          <w:tcPr>
            <w:tcW w:w="872" w:type="dxa"/>
            <w:tcBorders>
              <w:top w:val="single" w:sz="8" w:space="0" w:color="auto"/>
              <w:left w:val="nil"/>
              <w:bottom w:val="nil"/>
              <w:right w:val="nil"/>
            </w:tcBorders>
            <w:shd w:val="clear" w:color="000000" w:fill="FFFFFF"/>
            <w:noWrap/>
            <w:hideMark/>
          </w:tcPr>
          <w:p w14:paraId="028E5B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(43/1457)</w:t>
            </w:r>
          </w:p>
        </w:tc>
        <w:tc>
          <w:tcPr>
            <w:tcW w:w="1293" w:type="dxa"/>
            <w:tcBorders>
              <w:top w:val="single" w:sz="8" w:space="0" w:color="auto"/>
              <w:left w:val="nil"/>
              <w:bottom w:val="nil"/>
              <w:right w:val="nil"/>
            </w:tcBorders>
            <w:shd w:val="clear" w:color="000000" w:fill="FFFFFF"/>
            <w:noWrap/>
            <w:hideMark/>
          </w:tcPr>
          <w:p w14:paraId="2A4A2DB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ECV</w:t>
            </w:r>
          </w:p>
        </w:tc>
        <w:tc>
          <w:tcPr>
            <w:tcW w:w="380" w:type="dxa"/>
            <w:tcBorders>
              <w:top w:val="single" w:sz="8" w:space="0" w:color="auto"/>
              <w:left w:val="nil"/>
              <w:bottom w:val="nil"/>
              <w:right w:val="nil"/>
            </w:tcBorders>
            <w:shd w:val="clear" w:color="000000" w:fill="FFFFFF"/>
            <w:noWrap/>
            <w:hideMark/>
          </w:tcPr>
          <w:p w14:paraId="7AC9B3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43,5</w:t>
            </w:r>
          </w:p>
        </w:tc>
        <w:tc>
          <w:tcPr>
            <w:tcW w:w="1287" w:type="dxa"/>
            <w:gridSpan w:val="2"/>
            <w:tcBorders>
              <w:top w:val="nil"/>
              <w:left w:val="nil"/>
              <w:bottom w:val="nil"/>
              <w:right w:val="nil"/>
            </w:tcBorders>
            <w:shd w:val="clear" w:color="000000" w:fill="FFFFFF"/>
            <w:noWrap/>
            <w:hideMark/>
          </w:tcPr>
          <w:p w14:paraId="26F578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634</w:t>
            </w:r>
            <w:r w:rsidRPr="00367BEC">
              <w:rPr>
                <w:rFonts w:ascii="Times New Roman" w:hAnsi="Times New Roman"/>
                <w:color w:val="000000"/>
                <w:sz w:val="16"/>
              </w:rPr>
              <w:t>/1457)</w:t>
            </w:r>
          </w:p>
        </w:tc>
      </w:tr>
      <w:tr w:rsidR="002E4D99" w:rsidRPr="00367BEC" w14:paraId="5CB7E1E2" w14:textId="77777777" w:rsidTr="00CF1C1E">
        <w:trPr>
          <w:trHeight w:val="20"/>
        </w:trPr>
        <w:tc>
          <w:tcPr>
            <w:tcW w:w="1196" w:type="dxa"/>
            <w:tcBorders>
              <w:top w:val="nil"/>
              <w:left w:val="nil"/>
              <w:bottom w:val="nil"/>
              <w:right w:val="nil"/>
            </w:tcBorders>
            <w:shd w:val="clear" w:color="000000" w:fill="FFFFFF"/>
            <w:hideMark/>
          </w:tcPr>
          <w:p w14:paraId="591B9F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lastRenderedPageBreak/>
              <w:t> </w:t>
            </w:r>
          </w:p>
        </w:tc>
        <w:tc>
          <w:tcPr>
            <w:tcW w:w="676" w:type="dxa"/>
            <w:tcBorders>
              <w:top w:val="nil"/>
              <w:left w:val="nil"/>
              <w:bottom w:val="nil"/>
              <w:right w:val="nil"/>
            </w:tcBorders>
            <w:shd w:val="clear" w:color="000000" w:fill="FFFFFF"/>
            <w:noWrap/>
            <w:hideMark/>
          </w:tcPr>
          <w:p w14:paraId="13C583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B4FA8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5A0D1B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43E2A80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6953DBB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5120116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5647AEA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1703EC2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0C8833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(82,0 % ME/LUM)</w:t>
            </w:r>
          </w:p>
        </w:tc>
        <w:tc>
          <w:tcPr>
            <w:tcW w:w="871" w:type="dxa"/>
            <w:tcBorders>
              <w:top w:val="nil"/>
              <w:left w:val="nil"/>
              <w:bottom w:val="nil"/>
              <w:right w:val="nil"/>
            </w:tcBorders>
            <w:shd w:val="clear" w:color="000000" w:fill="FFFFFF"/>
            <w:noWrap/>
            <w:hideMark/>
          </w:tcPr>
          <w:p w14:paraId="603E7EB8" w14:textId="5F8BDB0B" w:rsidR="002E4D99" w:rsidRPr="00367BEC" w:rsidRDefault="00761D0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Nociceptivo</w:t>
            </w:r>
          </w:p>
        </w:tc>
        <w:tc>
          <w:tcPr>
            <w:tcW w:w="360" w:type="dxa"/>
            <w:tcBorders>
              <w:top w:val="nil"/>
              <w:left w:val="nil"/>
              <w:bottom w:val="nil"/>
              <w:right w:val="nil"/>
            </w:tcBorders>
            <w:shd w:val="clear" w:color="000000" w:fill="FFFFFF"/>
            <w:noWrap/>
            <w:hideMark/>
          </w:tcPr>
          <w:p w14:paraId="589039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13,0</w:t>
            </w:r>
          </w:p>
        </w:tc>
        <w:tc>
          <w:tcPr>
            <w:tcW w:w="872" w:type="dxa"/>
            <w:tcBorders>
              <w:top w:val="nil"/>
              <w:left w:val="nil"/>
              <w:bottom w:val="nil"/>
              <w:right w:val="nil"/>
            </w:tcBorders>
            <w:shd w:val="clear" w:color="000000" w:fill="FFFFFF"/>
            <w:noWrap/>
            <w:hideMark/>
          </w:tcPr>
          <w:p w14:paraId="2FFDA9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(190/1457)</w:t>
            </w:r>
          </w:p>
        </w:tc>
        <w:tc>
          <w:tcPr>
            <w:tcW w:w="855" w:type="dxa"/>
            <w:tcBorders>
              <w:top w:val="nil"/>
              <w:left w:val="nil"/>
              <w:bottom w:val="nil"/>
              <w:right w:val="nil"/>
            </w:tcBorders>
            <w:shd w:val="clear" w:color="000000" w:fill="FFFFFF"/>
            <w:noWrap/>
            <w:hideMark/>
          </w:tcPr>
          <w:p w14:paraId="3156993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&gt;3-6 m</w:t>
            </w:r>
          </w:p>
        </w:tc>
        <w:tc>
          <w:tcPr>
            <w:tcW w:w="360" w:type="dxa"/>
            <w:tcBorders>
              <w:top w:val="nil"/>
              <w:left w:val="nil"/>
              <w:bottom w:val="nil"/>
              <w:right w:val="nil"/>
            </w:tcBorders>
            <w:shd w:val="clear" w:color="000000" w:fill="FFFFFF"/>
            <w:noWrap/>
            <w:hideMark/>
          </w:tcPr>
          <w:p w14:paraId="6240C3A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4,7</w:t>
            </w:r>
          </w:p>
        </w:tc>
        <w:tc>
          <w:tcPr>
            <w:tcW w:w="872" w:type="dxa"/>
            <w:tcBorders>
              <w:top w:val="nil"/>
              <w:left w:val="nil"/>
              <w:bottom w:val="nil"/>
              <w:right w:val="nil"/>
            </w:tcBorders>
            <w:shd w:val="clear" w:color="000000" w:fill="FFFFFF"/>
            <w:noWrap/>
            <w:hideMark/>
          </w:tcPr>
          <w:p w14:paraId="699F7E8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(68/1457)</w:t>
            </w:r>
          </w:p>
        </w:tc>
        <w:tc>
          <w:tcPr>
            <w:tcW w:w="1293" w:type="dxa"/>
            <w:tcBorders>
              <w:top w:val="nil"/>
              <w:left w:val="nil"/>
              <w:bottom w:val="nil"/>
              <w:right w:val="nil"/>
            </w:tcBorders>
            <w:shd w:val="clear" w:color="000000" w:fill="FFFFFF"/>
            <w:noWrap/>
            <w:hideMark/>
          </w:tcPr>
          <w:p w14:paraId="26C570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Trastorno metabólico</w:t>
            </w:r>
          </w:p>
        </w:tc>
        <w:tc>
          <w:tcPr>
            <w:tcW w:w="380" w:type="dxa"/>
            <w:tcBorders>
              <w:top w:val="nil"/>
              <w:left w:val="nil"/>
              <w:bottom w:val="nil"/>
              <w:right w:val="nil"/>
            </w:tcBorders>
            <w:shd w:val="clear" w:color="000000" w:fill="FFFFFF"/>
            <w:noWrap/>
            <w:hideMark/>
          </w:tcPr>
          <w:p w14:paraId="7F7639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23,3</w:t>
            </w:r>
          </w:p>
        </w:tc>
        <w:tc>
          <w:tcPr>
            <w:tcW w:w="1287" w:type="dxa"/>
            <w:gridSpan w:val="2"/>
            <w:tcBorders>
              <w:top w:val="nil"/>
              <w:left w:val="nil"/>
              <w:bottom w:val="nil"/>
              <w:right w:val="nil"/>
            </w:tcBorders>
            <w:shd w:val="clear" w:color="000000" w:fill="FFFFFF"/>
            <w:noWrap/>
            <w:hideMark/>
          </w:tcPr>
          <w:p w14:paraId="758A7B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339</w:t>
            </w:r>
            <w:r w:rsidRPr="00367BEC">
              <w:rPr>
                <w:rFonts w:ascii="Times New Roman" w:hAnsi="Times New Roman"/>
                <w:color w:val="000000"/>
                <w:sz w:val="16"/>
              </w:rPr>
              <w:t>/1457)</w:t>
            </w:r>
          </w:p>
        </w:tc>
      </w:tr>
      <w:tr w:rsidR="002E4D99" w:rsidRPr="00367BEC" w14:paraId="500A0AFB" w14:textId="77777777" w:rsidTr="00CF1C1E">
        <w:trPr>
          <w:trHeight w:val="20"/>
        </w:trPr>
        <w:tc>
          <w:tcPr>
            <w:tcW w:w="1196" w:type="dxa"/>
            <w:tcBorders>
              <w:top w:val="nil"/>
              <w:left w:val="nil"/>
              <w:bottom w:val="nil"/>
              <w:right w:val="nil"/>
            </w:tcBorders>
            <w:shd w:val="clear" w:color="000000" w:fill="FFFFFF"/>
            <w:hideMark/>
          </w:tcPr>
          <w:p w14:paraId="156177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7430E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427ED6B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1700546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02B365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373EA86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79CE49F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79F8401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43C0084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390A55B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5C8864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nil"/>
              <w:right w:val="nil"/>
            </w:tcBorders>
            <w:shd w:val="clear" w:color="000000" w:fill="FFFFFF"/>
            <w:noWrap/>
            <w:hideMark/>
          </w:tcPr>
          <w:p w14:paraId="779542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73,5</w:t>
            </w:r>
          </w:p>
        </w:tc>
        <w:tc>
          <w:tcPr>
            <w:tcW w:w="872" w:type="dxa"/>
            <w:tcBorders>
              <w:top w:val="nil"/>
              <w:left w:val="nil"/>
              <w:bottom w:val="nil"/>
              <w:right w:val="nil"/>
            </w:tcBorders>
            <w:shd w:val="clear" w:color="000000" w:fill="FFFFFF"/>
            <w:noWrap/>
            <w:hideMark/>
          </w:tcPr>
          <w:p w14:paraId="341B5CC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(1071/1457)</w:t>
            </w:r>
          </w:p>
        </w:tc>
        <w:tc>
          <w:tcPr>
            <w:tcW w:w="855" w:type="dxa"/>
            <w:tcBorders>
              <w:top w:val="nil"/>
              <w:left w:val="nil"/>
              <w:bottom w:val="nil"/>
              <w:right w:val="nil"/>
            </w:tcBorders>
            <w:shd w:val="clear" w:color="000000" w:fill="FFFFFF"/>
            <w:noWrap/>
            <w:hideMark/>
          </w:tcPr>
          <w:p w14:paraId="18C31B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 m-1 a</w:t>
            </w:r>
          </w:p>
        </w:tc>
        <w:tc>
          <w:tcPr>
            <w:tcW w:w="360" w:type="dxa"/>
            <w:tcBorders>
              <w:top w:val="nil"/>
              <w:left w:val="nil"/>
              <w:bottom w:val="nil"/>
              <w:right w:val="nil"/>
            </w:tcBorders>
            <w:shd w:val="clear" w:color="000000" w:fill="FFFFFF"/>
            <w:noWrap/>
            <w:hideMark/>
          </w:tcPr>
          <w:p w14:paraId="100B9BD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w:t>
            </w:r>
          </w:p>
        </w:tc>
        <w:tc>
          <w:tcPr>
            <w:tcW w:w="872" w:type="dxa"/>
            <w:tcBorders>
              <w:top w:val="nil"/>
              <w:left w:val="nil"/>
              <w:bottom w:val="nil"/>
              <w:right w:val="nil"/>
            </w:tcBorders>
            <w:shd w:val="clear" w:color="000000" w:fill="FFFFFF"/>
            <w:noWrap/>
            <w:hideMark/>
          </w:tcPr>
          <w:p w14:paraId="2865745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(91/1457)</w:t>
            </w:r>
          </w:p>
        </w:tc>
        <w:tc>
          <w:tcPr>
            <w:tcW w:w="1293" w:type="dxa"/>
            <w:tcBorders>
              <w:top w:val="nil"/>
              <w:left w:val="nil"/>
              <w:bottom w:val="nil"/>
              <w:right w:val="nil"/>
            </w:tcBorders>
            <w:shd w:val="clear" w:color="000000" w:fill="FFFFFF"/>
            <w:noWrap/>
            <w:hideMark/>
          </w:tcPr>
          <w:p w14:paraId="572C4D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59B9122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2BFACFF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18C62A20" w14:textId="77777777" w:rsidTr="00CF1C1E">
        <w:trPr>
          <w:trHeight w:val="20"/>
        </w:trPr>
        <w:tc>
          <w:tcPr>
            <w:tcW w:w="1196" w:type="dxa"/>
            <w:tcBorders>
              <w:top w:val="nil"/>
              <w:left w:val="nil"/>
              <w:bottom w:val="nil"/>
              <w:right w:val="nil"/>
            </w:tcBorders>
            <w:shd w:val="clear" w:color="000000" w:fill="FFFFFF"/>
            <w:hideMark/>
          </w:tcPr>
          <w:p w14:paraId="2C5412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3056B81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9E1A4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306127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1A24F5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16EACAB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486F0C6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73B509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698F78C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40199F3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31FF00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1ECD209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3E6916D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609D9D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&gt;1-2 a</w:t>
            </w:r>
          </w:p>
        </w:tc>
        <w:tc>
          <w:tcPr>
            <w:tcW w:w="360" w:type="dxa"/>
            <w:tcBorders>
              <w:top w:val="nil"/>
              <w:left w:val="nil"/>
              <w:bottom w:val="nil"/>
              <w:right w:val="nil"/>
            </w:tcBorders>
            <w:shd w:val="clear" w:color="000000" w:fill="FFFFFF"/>
            <w:noWrap/>
            <w:hideMark/>
          </w:tcPr>
          <w:p w14:paraId="19A2CE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8,8</w:t>
            </w:r>
          </w:p>
        </w:tc>
        <w:tc>
          <w:tcPr>
            <w:tcW w:w="872" w:type="dxa"/>
            <w:tcBorders>
              <w:top w:val="nil"/>
              <w:left w:val="nil"/>
              <w:bottom w:val="nil"/>
              <w:right w:val="nil"/>
            </w:tcBorders>
            <w:shd w:val="clear" w:color="000000" w:fill="FFFFFF"/>
            <w:noWrap/>
            <w:hideMark/>
          </w:tcPr>
          <w:p w14:paraId="15E10B6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(128/1457)</w:t>
            </w:r>
          </w:p>
        </w:tc>
        <w:tc>
          <w:tcPr>
            <w:tcW w:w="1293" w:type="dxa"/>
            <w:tcBorders>
              <w:top w:val="nil"/>
              <w:left w:val="nil"/>
              <w:bottom w:val="nil"/>
              <w:right w:val="nil"/>
            </w:tcBorders>
            <w:shd w:val="clear" w:color="000000" w:fill="FFFFFF"/>
            <w:noWrap/>
            <w:hideMark/>
          </w:tcPr>
          <w:p w14:paraId="757EA4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1680D7F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67EA0B7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370A5B0F" w14:textId="77777777" w:rsidTr="00CF1C1E">
        <w:trPr>
          <w:trHeight w:val="20"/>
        </w:trPr>
        <w:tc>
          <w:tcPr>
            <w:tcW w:w="1196" w:type="dxa"/>
            <w:tcBorders>
              <w:top w:val="nil"/>
              <w:left w:val="nil"/>
              <w:bottom w:val="nil"/>
              <w:right w:val="nil"/>
            </w:tcBorders>
            <w:shd w:val="clear" w:color="000000" w:fill="FFFFFF"/>
            <w:hideMark/>
          </w:tcPr>
          <w:p w14:paraId="054ABD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F6619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2AEEFC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single" w:sz="4" w:space="0" w:color="D0CECE" w:themeColor="background2" w:themeShade="E6"/>
              <w:right w:val="nil"/>
            </w:tcBorders>
            <w:shd w:val="clear" w:color="000000" w:fill="FFFFFF"/>
            <w:noWrap/>
            <w:hideMark/>
          </w:tcPr>
          <w:p w14:paraId="2D6828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4" w:space="0" w:color="D0CECE" w:themeColor="background2" w:themeShade="E6"/>
              <w:right w:val="nil"/>
            </w:tcBorders>
            <w:shd w:val="clear" w:color="000000" w:fill="FFFFFF"/>
            <w:hideMark/>
          </w:tcPr>
          <w:p w14:paraId="0FEA15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4" w:space="0" w:color="D0CECE" w:themeColor="background2" w:themeShade="E6"/>
              <w:right w:val="nil"/>
            </w:tcBorders>
            <w:shd w:val="clear" w:color="000000" w:fill="FFFFFF"/>
            <w:noWrap/>
            <w:hideMark/>
          </w:tcPr>
          <w:p w14:paraId="2244D80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4" w:space="0" w:color="D0CECE" w:themeColor="background2" w:themeShade="E6"/>
              <w:right w:val="nil"/>
            </w:tcBorders>
            <w:shd w:val="clear" w:color="000000" w:fill="FFFFFF"/>
            <w:noWrap/>
            <w:hideMark/>
          </w:tcPr>
          <w:p w14:paraId="461F7D4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4" w:space="0" w:color="D0CECE" w:themeColor="background2" w:themeShade="E6"/>
              <w:right w:val="nil"/>
            </w:tcBorders>
            <w:shd w:val="clear" w:color="000000" w:fill="FFFFFF"/>
            <w:hideMark/>
          </w:tcPr>
          <w:p w14:paraId="4116ABC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4" w:space="0" w:color="D0CECE" w:themeColor="background2" w:themeShade="E6"/>
              <w:right w:val="nil"/>
            </w:tcBorders>
            <w:shd w:val="clear" w:color="000000" w:fill="FFFFFF"/>
            <w:noWrap/>
            <w:hideMark/>
          </w:tcPr>
          <w:p w14:paraId="1DC8724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4" w:space="0" w:color="D0CECE" w:themeColor="background2" w:themeShade="E6"/>
              <w:right w:val="nil"/>
            </w:tcBorders>
            <w:shd w:val="clear" w:color="000000" w:fill="FFFFFF"/>
            <w:hideMark/>
          </w:tcPr>
          <w:p w14:paraId="2DD4826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4" w:space="0" w:color="D0CECE" w:themeColor="background2" w:themeShade="E6"/>
              <w:right w:val="nil"/>
            </w:tcBorders>
            <w:shd w:val="clear" w:color="000000" w:fill="FFFFFF"/>
            <w:noWrap/>
            <w:hideMark/>
          </w:tcPr>
          <w:p w14:paraId="4C9B92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4" w:space="0" w:color="D0CECE" w:themeColor="background2" w:themeShade="E6"/>
              <w:right w:val="nil"/>
            </w:tcBorders>
            <w:shd w:val="clear" w:color="000000" w:fill="FFFFFF"/>
            <w:noWrap/>
            <w:hideMark/>
          </w:tcPr>
          <w:p w14:paraId="074632C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4" w:space="0" w:color="D0CECE" w:themeColor="background2" w:themeShade="E6"/>
              <w:right w:val="nil"/>
            </w:tcBorders>
            <w:shd w:val="clear" w:color="000000" w:fill="FFFFFF"/>
            <w:noWrap/>
            <w:hideMark/>
          </w:tcPr>
          <w:p w14:paraId="2B170FD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single" w:sz="4" w:space="0" w:color="D0CECE" w:themeColor="background2" w:themeShade="E6"/>
              <w:right w:val="nil"/>
            </w:tcBorders>
            <w:shd w:val="clear" w:color="000000" w:fill="FFFFFF"/>
            <w:noWrap/>
            <w:hideMark/>
          </w:tcPr>
          <w:p w14:paraId="2EC7047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&gt;2 a</w:t>
            </w:r>
          </w:p>
        </w:tc>
        <w:tc>
          <w:tcPr>
            <w:tcW w:w="360" w:type="dxa"/>
            <w:tcBorders>
              <w:top w:val="nil"/>
              <w:left w:val="nil"/>
              <w:bottom w:val="single" w:sz="4" w:space="0" w:color="D0CECE" w:themeColor="background2" w:themeShade="E6"/>
              <w:right w:val="nil"/>
            </w:tcBorders>
            <w:shd w:val="clear" w:color="000000" w:fill="FFFFFF"/>
            <w:noWrap/>
            <w:hideMark/>
          </w:tcPr>
          <w:p w14:paraId="2402476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77,1</w:t>
            </w:r>
          </w:p>
        </w:tc>
        <w:tc>
          <w:tcPr>
            <w:tcW w:w="872" w:type="dxa"/>
            <w:tcBorders>
              <w:top w:val="nil"/>
              <w:left w:val="nil"/>
              <w:bottom w:val="single" w:sz="4" w:space="0" w:color="D0CECE" w:themeColor="background2" w:themeShade="E6"/>
              <w:right w:val="nil"/>
            </w:tcBorders>
            <w:shd w:val="clear" w:color="000000" w:fill="FFFFFF"/>
            <w:noWrap/>
            <w:hideMark/>
          </w:tcPr>
          <w:p w14:paraId="067936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(1123/1457)</w:t>
            </w:r>
          </w:p>
        </w:tc>
        <w:tc>
          <w:tcPr>
            <w:tcW w:w="1293" w:type="dxa"/>
            <w:tcBorders>
              <w:top w:val="nil"/>
              <w:left w:val="nil"/>
              <w:bottom w:val="single" w:sz="4" w:space="0" w:color="D0CECE" w:themeColor="background2" w:themeShade="E6"/>
              <w:right w:val="nil"/>
            </w:tcBorders>
            <w:shd w:val="clear" w:color="000000" w:fill="FFFFFF"/>
            <w:noWrap/>
            <w:hideMark/>
          </w:tcPr>
          <w:p w14:paraId="732898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4" w:space="0" w:color="D0CECE" w:themeColor="background2" w:themeShade="E6"/>
              <w:right w:val="nil"/>
            </w:tcBorders>
            <w:shd w:val="clear" w:color="000000" w:fill="FFFFFF"/>
            <w:noWrap/>
            <w:hideMark/>
          </w:tcPr>
          <w:p w14:paraId="7772687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4" w:space="0" w:color="D0CECE" w:themeColor="background2" w:themeShade="E6"/>
              <w:right w:val="nil"/>
            </w:tcBorders>
            <w:shd w:val="clear" w:color="000000" w:fill="FFFFFF"/>
            <w:noWrap/>
            <w:hideMark/>
          </w:tcPr>
          <w:p w14:paraId="7B1D887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21FB5719" w14:textId="77777777" w:rsidTr="00CF1C1E">
        <w:trPr>
          <w:trHeight w:val="20"/>
        </w:trPr>
        <w:tc>
          <w:tcPr>
            <w:tcW w:w="1196" w:type="dxa"/>
            <w:tcBorders>
              <w:top w:val="nil"/>
              <w:left w:val="nil"/>
              <w:bottom w:val="nil"/>
              <w:right w:val="nil"/>
            </w:tcBorders>
            <w:shd w:val="clear" w:color="000000" w:fill="FFFFFF"/>
            <w:hideMark/>
          </w:tcPr>
          <w:p w14:paraId="235430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6FC563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277D5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single" w:sz="4" w:space="0" w:color="D0CECE" w:themeColor="background2" w:themeShade="E6"/>
              <w:left w:val="nil"/>
              <w:bottom w:val="nil"/>
              <w:right w:val="nil"/>
            </w:tcBorders>
            <w:shd w:val="clear" w:color="000000" w:fill="FFFFFF"/>
            <w:noWrap/>
            <w:hideMark/>
          </w:tcPr>
          <w:p w14:paraId="4A4A6A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48 </w:t>
            </w:r>
            <w:proofErr w:type="spellStart"/>
            <w:r w:rsidRPr="00367BEC">
              <w:rPr>
                <w:rFonts w:ascii="Times New Roman" w:hAnsi="Times New Roman"/>
                <w:color w:val="000000"/>
                <w:sz w:val="16"/>
              </w:rPr>
              <w:t>sem</w:t>
            </w:r>
            <w:proofErr w:type="spellEnd"/>
          </w:p>
        </w:tc>
        <w:tc>
          <w:tcPr>
            <w:tcW w:w="728" w:type="dxa"/>
            <w:tcBorders>
              <w:top w:val="single" w:sz="4" w:space="0" w:color="D0CECE" w:themeColor="background2" w:themeShade="E6"/>
              <w:left w:val="nil"/>
              <w:bottom w:val="nil"/>
              <w:right w:val="nil"/>
            </w:tcBorders>
            <w:shd w:val="clear" w:color="000000" w:fill="FFFFFF"/>
            <w:hideMark/>
          </w:tcPr>
          <w:p w14:paraId="23D957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4" w:space="0" w:color="D0CECE" w:themeColor="background2" w:themeShade="E6"/>
              <w:left w:val="nil"/>
              <w:bottom w:val="nil"/>
              <w:right w:val="nil"/>
            </w:tcBorders>
            <w:shd w:val="clear" w:color="000000" w:fill="FFFFFF"/>
            <w:noWrap/>
            <w:hideMark/>
          </w:tcPr>
          <w:p w14:paraId="63F948A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588</w:t>
            </w:r>
          </w:p>
        </w:tc>
        <w:tc>
          <w:tcPr>
            <w:tcW w:w="360" w:type="dxa"/>
            <w:tcBorders>
              <w:top w:val="single" w:sz="4" w:space="0" w:color="D0CECE" w:themeColor="background2" w:themeShade="E6"/>
              <w:left w:val="nil"/>
              <w:bottom w:val="nil"/>
              <w:right w:val="nil"/>
            </w:tcBorders>
            <w:shd w:val="clear" w:color="000000" w:fill="FFFFFF"/>
            <w:noWrap/>
            <w:hideMark/>
          </w:tcPr>
          <w:p w14:paraId="6D65F0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60,1</w:t>
            </w:r>
          </w:p>
        </w:tc>
        <w:tc>
          <w:tcPr>
            <w:tcW w:w="543" w:type="dxa"/>
            <w:tcBorders>
              <w:top w:val="single" w:sz="4" w:space="0" w:color="D0CECE" w:themeColor="background2" w:themeShade="E6"/>
              <w:left w:val="nil"/>
              <w:bottom w:val="nil"/>
              <w:right w:val="nil"/>
            </w:tcBorders>
            <w:shd w:val="clear" w:color="000000" w:fill="FFFFFF"/>
            <w:hideMark/>
          </w:tcPr>
          <w:p w14:paraId="7AB665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(13,2)</w:t>
            </w:r>
          </w:p>
        </w:tc>
        <w:tc>
          <w:tcPr>
            <w:tcW w:w="538" w:type="dxa"/>
            <w:tcBorders>
              <w:top w:val="single" w:sz="4" w:space="0" w:color="D0CECE" w:themeColor="background2" w:themeShade="E6"/>
              <w:left w:val="nil"/>
              <w:bottom w:val="nil"/>
              <w:right w:val="nil"/>
            </w:tcBorders>
            <w:shd w:val="clear" w:color="000000" w:fill="FFFFFF"/>
            <w:noWrap/>
            <w:hideMark/>
          </w:tcPr>
          <w:p w14:paraId="425857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36,9</w:t>
            </w:r>
          </w:p>
        </w:tc>
        <w:tc>
          <w:tcPr>
            <w:tcW w:w="1325" w:type="dxa"/>
            <w:tcBorders>
              <w:top w:val="single" w:sz="4" w:space="0" w:color="D0CECE" w:themeColor="background2" w:themeShade="E6"/>
              <w:left w:val="nil"/>
              <w:bottom w:val="nil"/>
              <w:right w:val="nil"/>
            </w:tcBorders>
            <w:shd w:val="clear" w:color="000000" w:fill="FFFFFF"/>
            <w:hideMark/>
          </w:tcPr>
          <w:p w14:paraId="521208C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Dolor</w:t>
            </w:r>
          </w:p>
        </w:tc>
        <w:tc>
          <w:tcPr>
            <w:tcW w:w="871" w:type="dxa"/>
            <w:tcBorders>
              <w:top w:val="single" w:sz="4" w:space="0" w:color="D0CECE" w:themeColor="background2" w:themeShade="E6"/>
              <w:left w:val="nil"/>
              <w:bottom w:val="nil"/>
              <w:right w:val="nil"/>
            </w:tcBorders>
            <w:shd w:val="clear" w:color="000000" w:fill="FFFFFF"/>
            <w:noWrap/>
            <w:hideMark/>
          </w:tcPr>
          <w:p w14:paraId="18E700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4" w:space="0" w:color="D0CECE" w:themeColor="background2" w:themeShade="E6"/>
              <w:left w:val="nil"/>
              <w:bottom w:val="nil"/>
              <w:right w:val="nil"/>
            </w:tcBorders>
            <w:shd w:val="clear" w:color="000000" w:fill="FFFFFF"/>
            <w:noWrap/>
            <w:hideMark/>
          </w:tcPr>
          <w:p w14:paraId="711A4C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8,5</w:t>
            </w:r>
          </w:p>
        </w:tc>
        <w:tc>
          <w:tcPr>
            <w:tcW w:w="872" w:type="dxa"/>
            <w:tcBorders>
              <w:top w:val="single" w:sz="4" w:space="0" w:color="D0CECE" w:themeColor="background2" w:themeShade="E6"/>
              <w:left w:val="nil"/>
              <w:bottom w:val="nil"/>
              <w:right w:val="nil"/>
            </w:tcBorders>
            <w:shd w:val="clear" w:color="000000" w:fill="FFFFFF"/>
            <w:noWrap/>
            <w:hideMark/>
          </w:tcPr>
          <w:p w14:paraId="18E82A6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(50/588)</w:t>
            </w:r>
          </w:p>
        </w:tc>
        <w:tc>
          <w:tcPr>
            <w:tcW w:w="855" w:type="dxa"/>
            <w:tcBorders>
              <w:top w:val="single" w:sz="4" w:space="0" w:color="D0CECE" w:themeColor="background2" w:themeShade="E6"/>
              <w:left w:val="nil"/>
              <w:bottom w:val="nil"/>
              <w:right w:val="nil"/>
            </w:tcBorders>
            <w:shd w:val="clear" w:color="000000" w:fill="FFFFFF"/>
            <w:noWrap/>
            <w:hideMark/>
          </w:tcPr>
          <w:p w14:paraId="1DB011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&lt;1-3 m</w:t>
            </w:r>
          </w:p>
        </w:tc>
        <w:tc>
          <w:tcPr>
            <w:tcW w:w="360" w:type="dxa"/>
            <w:tcBorders>
              <w:top w:val="single" w:sz="4" w:space="0" w:color="D0CECE" w:themeColor="background2" w:themeShade="E6"/>
              <w:left w:val="nil"/>
              <w:bottom w:val="nil"/>
              <w:right w:val="nil"/>
            </w:tcBorders>
            <w:shd w:val="clear" w:color="000000" w:fill="FFFFFF"/>
            <w:noWrap/>
            <w:hideMark/>
          </w:tcPr>
          <w:p w14:paraId="06A8CC6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w:t>
            </w:r>
          </w:p>
        </w:tc>
        <w:tc>
          <w:tcPr>
            <w:tcW w:w="872" w:type="dxa"/>
            <w:tcBorders>
              <w:top w:val="single" w:sz="4" w:space="0" w:color="D0CECE" w:themeColor="background2" w:themeShade="E6"/>
              <w:left w:val="nil"/>
              <w:bottom w:val="nil"/>
              <w:right w:val="nil"/>
            </w:tcBorders>
            <w:shd w:val="clear" w:color="000000" w:fill="FFFFFF"/>
            <w:noWrap/>
            <w:hideMark/>
          </w:tcPr>
          <w:p w14:paraId="14B5815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(10/588)</w:t>
            </w:r>
          </w:p>
        </w:tc>
        <w:tc>
          <w:tcPr>
            <w:tcW w:w="1293" w:type="dxa"/>
            <w:tcBorders>
              <w:top w:val="single" w:sz="4" w:space="0" w:color="D0CECE" w:themeColor="background2" w:themeShade="E6"/>
              <w:left w:val="nil"/>
              <w:bottom w:val="nil"/>
              <w:right w:val="nil"/>
            </w:tcBorders>
            <w:shd w:val="clear" w:color="000000" w:fill="FFFFFF"/>
            <w:noWrap/>
            <w:hideMark/>
          </w:tcPr>
          <w:p w14:paraId="122F30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4" w:space="0" w:color="D0CECE" w:themeColor="background2" w:themeShade="E6"/>
              <w:left w:val="nil"/>
              <w:bottom w:val="nil"/>
              <w:right w:val="nil"/>
            </w:tcBorders>
            <w:shd w:val="clear" w:color="000000" w:fill="FFFFFF"/>
            <w:noWrap/>
            <w:hideMark/>
          </w:tcPr>
          <w:p w14:paraId="3753804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single" w:sz="4" w:space="0" w:color="D0CECE" w:themeColor="background2" w:themeShade="E6"/>
              <w:left w:val="nil"/>
              <w:bottom w:val="nil"/>
              <w:right w:val="nil"/>
            </w:tcBorders>
            <w:shd w:val="clear" w:color="000000" w:fill="FFFFFF"/>
            <w:noWrap/>
            <w:hideMark/>
          </w:tcPr>
          <w:p w14:paraId="196DBD1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1B621ECC" w14:textId="77777777" w:rsidTr="00CF1C1E">
        <w:trPr>
          <w:trHeight w:val="20"/>
        </w:trPr>
        <w:tc>
          <w:tcPr>
            <w:tcW w:w="1196" w:type="dxa"/>
            <w:tcBorders>
              <w:top w:val="nil"/>
              <w:left w:val="nil"/>
              <w:bottom w:val="nil"/>
              <w:right w:val="nil"/>
            </w:tcBorders>
            <w:shd w:val="clear" w:color="000000" w:fill="FFFFFF"/>
            <w:hideMark/>
          </w:tcPr>
          <w:p w14:paraId="424921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0A9F35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8E109B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C3F7D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7ACF37B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7A98D43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541274D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318FF6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510AB4B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22C471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(82,5 % ME/LUM)</w:t>
            </w:r>
          </w:p>
        </w:tc>
        <w:tc>
          <w:tcPr>
            <w:tcW w:w="871" w:type="dxa"/>
            <w:tcBorders>
              <w:top w:val="nil"/>
              <w:left w:val="nil"/>
              <w:bottom w:val="nil"/>
              <w:right w:val="nil"/>
            </w:tcBorders>
            <w:shd w:val="clear" w:color="000000" w:fill="FFFFFF"/>
            <w:noWrap/>
            <w:hideMark/>
          </w:tcPr>
          <w:p w14:paraId="654245B6" w14:textId="135F0E50" w:rsidR="002E4D99" w:rsidRPr="00367BEC" w:rsidRDefault="00761D0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Nociceptivo</w:t>
            </w:r>
          </w:p>
        </w:tc>
        <w:tc>
          <w:tcPr>
            <w:tcW w:w="360" w:type="dxa"/>
            <w:tcBorders>
              <w:top w:val="nil"/>
              <w:left w:val="nil"/>
              <w:bottom w:val="nil"/>
              <w:right w:val="nil"/>
            </w:tcBorders>
            <w:shd w:val="clear" w:color="000000" w:fill="FFFFFF"/>
            <w:noWrap/>
            <w:hideMark/>
          </w:tcPr>
          <w:p w14:paraId="3A7942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14,5</w:t>
            </w:r>
          </w:p>
        </w:tc>
        <w:tc>
          <w:tcPr>
            <w:tcW w:w="872" w:type="dxa"/>
            <w:tcBorders>
              <w:top w:val="nil"/>
              <w:left w:val="nil"/>
              <w:bottom w:val="nil"/>
              <w:right w:val="nil"/>
            </w:tcBorders>
            <w:shd w:val="clear" w:color="000000" w:fill="FFFFFF"/>
            <w:noWrap/>
            <w:hideMark/>
          </w:tcPr>
          <w:p w14:paraId="58FE5A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(85/588)</w:t>
            </w:r>
          </w:p>
        </w:tc>
        <w:tc>
          <w:tcPr>
            <w:tcW w:w="855" w:type="dxa"/>
            <w:tcBorders>
              <w:top w:val="nil"/>
              <w:left w:val="nil"/>
              <w:bottom w:val="nil"/>
              <w:right w:val="nil"/>
            </w:tcBorders>
            <w:shd w:val="clear" w:color="000000" w:fill="FFFFFF"/>
            <w:noWrap/>
            <w:hideMark/>
          </w:tcPr>
          <w:p w14:paraId="30D57C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&gt;3-6 m</w:t>
            </w:r>
          </w:p>
        </w:tc>
        <w:tc>
          <w:tcPr>
            <w:tcW w:w="360" w:type="dxa"/>
            <w:tcBorders>
              <w:top w:val="nil"/>
              <w:left w:val="nil"/>
              <w:bottom w:val="nil"/>
              <w:right w:val="nil"/>
            </w:tcBorders>
            <w:shd w:val="clear" w:color="000000" w:fill="FFFFFF"/>
            <w:noWrap/>
            <w:hideMark/>
          </w:tcPr>
          <w:p w14:paraId="091388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5,6</w:t>
            </w:r>
          </w:p>
        </w:tc>
        <w:tc>
          <w:tcPr>
            <w:tcW w:w="872" w:type="dxa"/>
            <w:tcBorders>
              <w:top w:val="nil"/>
              <w:left w:val="nil"/>
              <w:bottom w:val="nil"/>
              <w:right w:val="nil"/>
            </w:tcBorders>
            <w:shd w:val="clear" w:color="000000" w:fill="FFFFFF"/>
            <w:noWrap/>
            <w:hideMark/>
          </w:tcPr>
          <w:p w14:paraId="4D5E64C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(33/588)</w:t>
            </w:r>
          </w:p>
        </w:tc>
        <w:tc>
          <w:tcPr>
            <w:tcW w:w="1293" w:type="dxa"/>
            <w:tcBorders>
              <w:top w:val="nil"/>
              <w:left w:val="nil"/>
              <w:bottom w:val="nil"/>
              <w:right w:val="nil"/>
            </w:tcBorders>
            <w:shd w:val="clear" w:color="000000" w:fill="FFFFFF"/>
            <w:noWrap/>
            <w:hideMark/>
          </w:tcPr>
          <w:p w14:paraId="394DE1B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7BDA049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75F0365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4CEC8F51" w14:textId="77777777" w:rsidTr="00CF1C1E">
        <w:trPr>
          <w:trHeight w:val="20"/>
        </w:trPr>
        <w:tc>
          <w:tcPr>
            <w:tcW w:w="1196" w:type="dxa"/>
            <w:tcBorders>
              <w:top w:val="nil"/>
              <w:left w:val="nil"/>
              <w:bottom w:val="nil"/>
              <w:right w:val="nil"/>
            </w:tcBorders>
            <w:shd w:val="clear" w:color="000000" w:fill="FFFFFF"/>
            <w:hideMark/>
          </w:tcPr>
          <w:p w14:paraId="1E4434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39A1DB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17426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FF6DD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2CAA32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185DD3A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28D3C6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5F54197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3862758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344285F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771A46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nil"/>
              <w:right w:val="nil"/>
            </w:tcBorders>
            <w:shd w:val="clear" w:color="000000" w:fill="FFFFFF"/>
            <w:noWrap/>
            <w:hideMark/>
          </w:tcPr>
          <w:p w14:paraId="460000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69,7</w:t>
            </w:r>
          </w:p>
        </w:tc>
        <w:tc>
          <w:tcPr>
            <w:tcW w:w="872" w:type="dxa"/>
            <w:tcBorders>
              <w:top w:val="nil"/>
              <w:left w:val="nil"/>
              <w:bottom w:val="nil"/>
              <w:right w:val="nil"/>
            </w:tcBorders>
            <w:shd w:val="clear" w:color="000000" w:fill="FFFFFF"/>
            <w:noWrap/>
            <w:hideMark/>
          </w:tcPr>
          <w:p w14:paraId="0910C9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(410/588)</w:t>
            </w:r>
          </w:p>
        </w:tc>
        <w:tc>
          <w:tcPr>
            <w:tcW w:w="855" w:type="dxa"/>
            <w:tcBorders>
              <w:top w:val="nil"/>
              <w:left w:val="nil"/>
              <w:bottom w:val="nil"/>
              <w:right w:val="nil"/>
            </w:tcBorders>
            <w:shd w:val="clear" w:color="000000" w:fill="FFFFFF"/>
            <w:noWrap/>
            <w:hideMark/>
          </w:tcPr>
          <w:p w14:paraId="640294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 m-1 a</w:t>
            </w:r>
          </w:p>
        </w:tc>
        <w:tc>
          <w:tcPr>
            <w:tcW w:w="360" w:type="dxa"/>
            <w:tcBorders>
              <w:top w:val="nil"/>
              <w:left w:val="nil"/>
              <w:bottom w:val="nil"/>
              <w:right w:val="nil"/>
            </w:tcBorders>
            <w:shd w:val="clear" w:color="000000" w:fill="FFFFFF"/>
            <w:noWrap/>
            <w:hideMark/>
          </w:tcPr>
          <w:p w14:paraId="51F93B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5,4</w:t>
            </w:r>
          </w:p>
        </w:tc>
        <w:tc>
          <w:tcPr>
            <w:tcW w:w="872" w:type="dxa"/>
            <w:tcBorders>
              <w:top w:val="nil"/>
              <w:left w:val="nil"/>
              <w:bottom w:val="nil"/>
              <w:right w:val="nil"/>
            </w:tcBorders>
            <w:shd w:val="clear" w:color="000000" w:fill="FFFFFF"/>
            <w:noWrap/>
            <w:hideMark/>
          </w:tcPr>
          <w:p w14:paraId="61765A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(32/588)</w:t>
            </w:r>
          </w:p>
        </w:tc>
        <w:tc>
          <w:tcPr>
            <w:tcW w:w="1293" w:type="dxa"/>
            <w:tcBorders>
              <w:top w:val="nil"/>
              <w:left w:val="nil"/>
              <w:bottom w:val="nil"/>
              <w:right w:val="nil"/>
            </w:tcBorders>
            <w:shd w:val="clear" w:color="000000" w:fill="FFFFFF"/>
            <w:noWrap/>
            <w:hideMark/>
          </w:tcPr>
          <w:p w14:paraId="1485E50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6FAF273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2D811AC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26569301" w14:textId="77777777" w:rsidTr="00CF1C1E">
        <w:trPr>
          <w:trHeight w:val="20"/>
        </w:trPr>
        <w:tc>
          <w:tcPr>
            <w:tcW w:w="1196" w:type="dxa"/>
            <w:tcBorders>
              <w:top w:val="nil"/>
              <w:left w:val="nil"/>
              <w:bottom w:val="nil"/>
              <w:right w:val="nil"/>
            </w:tcBorders>
            <w:shd w:val="clear" w:color="000000" w:fill="FFFFFF"/>
            <w:hideMark/>
          </w:tcPr>
          <w:p w14:paraId="2A43068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685DEB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6323F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0C619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4ABFAE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36A4D30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C41221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9C6999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2FDF9D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146750E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5A9687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5BCDA9F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7BFE148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D67BC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&gt;1-2 a</w:t>
            </w:r>
          </w:p>
        </w:tc>
        <w:tc>
          <w:tcPr>
            <w:tcW w:w="360" w:type="dxa"/>
            <w:tcBorders>
              <w:top w:val="nil"/>
              <w:left w:val="nil"/>
              <w:bottom w:val="nil"/>
              <w:right w:val="nil"/>
            </w:tcBorders>
            <w:shd w:val="clear" w:color="000000" w:fill="FFFFFF"/>
            <w:noWrap/>
            <w:hideMark/>
          </w:tcPr>
          <w:p w14:paraId="6FA8A2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8,7</w:t>
            </w:r>
          </w:p>
        </w:tc>
        <w:tc>
          <w:tcPr>
            <w:tcW w:w="872" w:type="dxa"/>
            <w:tcBorders>
              <w:top w:val="nil"/>
              <w:left w:val="nil"/>
              <w:bottom w:val="nil"/>
              <w:right w:val="nil"/>
            </w:tcBorders>
            <w:shd w:val="clear" w:color="000000" w:fill="FFFFFF"/>
            <w:noWrap/>
            <w:hideMark/>
          </w:tcPr>
          <w:p w14:paraId="33743B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(51/588)</w:t>
            </w:r>
          </w:p>
        </w:tc>
        <w:tc>
          <w:tcPr>
            <w:tcW w:w="1293" w:type="dxa"/>
            <w:tcBorders>
              <w:top w:val="nil"/>
              <w:left w:val="nil"/>
              <w:bottom w:val="nil"/>
              <w:right w:val="nil"/>
            </w:tcBorders>
            <w:shd w:val="clear" w:color="000000" w:fill="FFFFFF"/>
            <w:noWrap/>
            <w:hideMark/>
          </w:tcPr>
          <w:p w14:paraId="0D2CD97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0CA0155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74601D7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22733204" w14:textId="77777777" w:rsidTr="00CF1C1E">
        <w:trPr>
          <w:trHeight w:val="20"/>
        </w:trPr>
        <w:tc>
          <w:tcPr>
            <w:tcW w:w="1196" w:type="dxa"/>
            <w:tcBorders>
              <w:top w:val="nil"/>
              <w:left w:val="nil"/>
              <w:bottom w:val="nil"/>
              <w:right w:val="nil"/>
            </w:tcBorders>
            <w:shd w:val="clear" w:color="000000" w:fill="FFFFFF"/>
            <w:hideMark/>
          </w:tcPr>
          <w:p w14:paraId="625259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single" w:sz="8" w:space="0" w:color="auto"/>
              <w:right w:val="nil"/>
            </w:tcBorders>
            <w:shd w:val="clear" w:color="000000" w:fill="FFFFFF"/>
            <w:noWrap/>
            <w:hideMark/>
          </w:tcPr>
          <w:p w14:paraId="0C319F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single" w:sz="8" w:space="0" w:color="auto"/>
              <w:right w:val="nil"/>
            </w:tcBorders>
            <w:shd w:val="clear" w:color="000000" w:fill="FFFFFF"/>
            <w:noWrap/>
            <w:hideMark/>
          </w:tcPr>
          <w:p w14:paraId="66CF35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single" w:sz="8" w:space="0" w:color="auto"/>
              <w:right w:val="nil"/>
            </w:tcBorders>
            <w:shd w:val="clear" w:color="000000" w:fill="FFFFFF"/>
            <w:noWrap/>
            <w:hideMark/>
          </w:tcPr>
          <w:p w14:paraId="363AF9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8" w:space="0" w:color="auto"/>
              <w:right w:val="nil"/>
            </w:tcBorders>
            <w:shd w:val="clear" w:color="000000" w:fill="FFFFFF"/>
            <w:hideMark/>
          </w:tcPr>
          <w:p w14:paraId="0F8252C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8" w:space="0" w:color="auto"/>
              <w:right w:val="nil"/>
            </w:tcBorders>
            <w:shd w:val="clear" w:color="000000" w:fill="FFFFFF"/>
            <w:noWrap/>
            <w:hideMark/>
          </w:tcPr>
          <w:p w14:paraId="15AE8DB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8" w:space="0" w:color="auto"/>
              <w:right w:val="nil"/>
            </w:tcBorders>
            <w:shd w:val="clear" w:color="000000" w:fill="FFFFFF"/>
            <w:noWrap/>
            <w:hideMark/>
          </w:tcPr>
          <w:p w14:paraId="64803F4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8" w:space="0" w:color="auto"/>
              <w:right w:val="nil"/>
            </w:tcBorders>
            <w:shd w:val="clear" w:color="000000" w:fill="FFFFFF"/>
            <w:hideMark/>
          </w:tcPr>
          <w:p w14:paraId="2708B32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8" w:space="0" w:color="auto"/>
              <w:right w:val="nil"/>
            </w:tcBorders>
            <w:shd w:val="clear" w:color="000000" w:fill="FFFFFF"/>
            <w:noWrap/>
            <w:hideMark/>
          </w:tcPr>
          <w:p w14:paraId="13CCCA2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8" w:space="0" w:color="auto"/>
              <w:right w:val="nil"/>
            </w:tcBorders>
            <w:shd w:val="clear" w:color="000000" w:fill="FFFFFF"/>
            <w:hideMark/>
          </w:tcPr>
          <w:p w14:paraId="32736FB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8" w:space="0" w:color="auto"/>
              <w:right w:val="nil"/>
            </w:tcBorders>
            <w:shd w:val="clear" w:color="000000" w:fill="FFFFFF"/>
            <w:noWrap/>
            <w:hideMark/>
          </w:tcPr>
          <w:p w14:paraId="11909E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8" w:space="0" w:color="auto"/>
              <w:right w:val="nil"/>
            </w:tcBorders>
            <w:shd w:val="clear" w:color="000000" w:fill="FFFFFF"/>
            <w:noWrap/>
            <w:hideMark/>
          </w:tcPr>
          <w:p w14:paraId="740AA23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8" w:space="0" w:color="auto"/>
              <w:right w:val="nil"/>
            </w:tcBorders>
            <w:shd w:val="clear" w:color="000000" w:fill="FFFFFF"/>
            <w:noWrap/>
            <w:hideMark/>
          </w:tcPr>
          <w:p w14:paraId="56FE22F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single" w:sz="8" w:space="0" w:color="auto"/>
              <w:right w:val="nil"/>
            </w:tcBorders>
            <w:shd w:val="clear" w:color="000000" w:fill="FFFFFF"/>
            <w:noWrap/>
            <w:hideMark/>
          </w:tcPr>
          <w:p w14:paraId="6E90823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&gt;2 a</w:t>
            </w:r>
          </w:p>
        </w:tc>
        <w:tc>
          <w:tcPr>
            <w:tcW w:w="360" w:type="dxa"/>
            <w:tcBorders>
              <w:top w:val="nil"/>
              <w:left w:val="nil"/>
              <w:bottom w:val="single" w:sz="8" w:space="0" w:color="auto"/>
              <w:right w:val="nil"/>
            </w:tcBorders>
            <w:shd w:val="clear" w:color="000000" w:fill="FFFFFF"/>
            <w:noWrap/>
            <w:hideMark/>
          </w:tcPr>
          <w:p w14:paraId="38DFAC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78,6</w:t>
            </w:r>
          </w:p>
        </w:tc>
        <w:tc>
          <w:tcPr>
            <w:tcW w:w="872" w:type="dxa"/>
            <w:tcBorders>
              <w:top w:val="nil"/>
              <w:left w:val="nil"/>
              <w:bottom w:val="single" w:sz="8" w:space="0" w:color="auto"/>
              <w:right w:val="nil"/>
            </w:tcBorders>
            <w:shd w:val="clear" w:color="000000" w:fill="FFFFFF"/>
            <w:noWrap/>
            <w:hideMark/>
          </w:tcPr>
          <w:p w14:paraId="77F8F3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(462/588)</w:t>
            </w:r>
          </w:p>
        </w:tc>
        <w:tc>
          <w:tcPr>
            <w:tcW w:w="1293" w:type="dxa"/>
            <w:tcBorders>
              <w:top w:val="nil"/>
              <w:left w:val="nil"/>
              <w:bottom w:val="single" w:sz="8" w:space="0" w:color="auto"/>
              <w:right w:val="nil"/>
            </w:tcBorders>
            <w:shd w:val="clear" w:color="000000" w:fill="FFFFFF"/>
            <w:noWrap/>
            <w:hideMark/>
          </w:tcPr>
          <w:p w14:paraId="24AC2B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8" w:space="0" w:color="auto"/>
              <w:right w:val="nil"/>
            </w:tcBorders>
            <w:shd w:val="clear" w:color="000000" w:fill="FFFFFF"/>
            <w:noWrap/>
            <w:hideMark/>
          </w:tcPr>
          <w:p w14:paraId="7C002A5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2D654E2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22E2227D" w14:textId="77777777" w:rsidTr="00CF1C1E">
        <w:trPr>
          <w:trHeight w:val="20"/>
        </w:trPr>
        <w:tc>
          <w:tcPr>
            <w:tcW w:w="1196" w:type="dxa"/>
            <w:tcBorders>
              <w:top w:val="single" w:sz="8" w:space="0" w:color="auto"/>
              <w:left w:val="nil"/>
              <w:bottom w:val="nil"/>
              <w:right w:val="nil"/>
            </w:tcBorders>
            <w:shd w:val="clear" w:color="000000" w:fill="FFFFFF"/>
            <w:hideMark/>
          </w:tcPr>
          <w:p w14:paraId="385277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Schwittay</w:t>
            </w:r>
            <w:proofErr w:type="spellEnd"/>
            <w:r w:rsidRPr="00367BEC">
              <w:rPr>
                <w:rFonts w:ascii="Times New Roman" w:hAnsi="Times New Roman"/>
                <w:color w:val="000000"/>
                <w:sz w:val="16"/>
              </w:rPr>
              <w:t xml:space="preserve"> 2013</w:t>
            </w:r>
          </w:p>
        </w:tc>
        <w:tc>
          <w:tcPr>
            <w:tcW w:w="676" w:type="dxa"/>
            <w:tcBorders>
              <w:top w:val="nil"/>
              <w:left w:val="nil"/>
              <w:bottom w:val="nil"/>
              <w:right w:val="nil"/>
            </w:tcBorders>
            <w:shd w:val="clear" w:color="000000" w:fill="FFFFFF"/>
            <w:noWrap/>
            <w:hideMark/>
          </w:tcPr>
          <w:p w14:paraId="4EC8F8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Alemania</w:t>
            </w:r>
          </w:p>
        </w:tc>
        <w:tc>
          <w:tcPr>
            <w:tcW w:w="628" w:type="dxa"/>
            <w:tcBorders>
              <w:top w:val="nil"/>
              <w:left w:val="nil"/>
              <w:bottom w:val="nil"/>
              <w:right w:val="nil"/>
            </w:tcBorders>
            <w:shd w:val="clear" w:color="000000" w:fill="FFFFFF"/>
            <w:noWrap/>
            <w:hideMark/>
          </w:tcPr>
          <w:p w14:paraId="0EFA30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nil"/>
              <w:left w:val="nil"/>
              <w:bottom w:val="nil"/>
              <w:right w:val="nil"/>
            </w:tcBorders>
            <w:shd w:val="clear" w:color="000000" w:fill="FFFFFF"/>
            <w:noWrap/>
            <w:hideMark/>
          </w:tcPr>
          <w:p w14:paraId="2F24F0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nil"/>
              <w:left w:val="nil"/>
              <w:bottom w:val="nil"/>
              <w:right w:val="nil"/>
            </w:tcBorders>
            <w:shd w:val="clear" w:color="000000" w:fill="FFFFFF"/>
            <w:hideMark/>
          </w:tcPr>
          <w:p w14:paraId="372A6A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nil"/>
              <w:left w:val="nil"/>
              <w:bottom w:val="nil"/>
              <w:right w:val="nil"/>
            </w:tcBorders>
            <w:shd w:val="clear" w:color="000000" w:fill="FFFFFF"/>
            <w:noWrap/>
            <w:hideMark/>
          </w:tcPr>
          <w:p w14:paraId="7133B7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3134</w:t>
            </w:r>
          </w:p>
        </w:tc>
        <w:tc>
          <w:tcPr>
            <w:tcW w:w="360" w:type="dxa"/>
            <w:tcBorders>
              <w:top w:val="nil"/>
              <w:left w:val="nil"/>
              <w:bottom w:val="nil"/>
              <w:right w:val="nil"/>
            </w:tcBorders>
            <w:shd w:val="clear" w:color="000000" w:fill="FFFFFF"/>
            <w:noWrap/>
            <w:hideMark/>
          </w:tcPr>
          <w:p w14:paraId="680C472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66,8</w:t>
            </w:r>
          </w:p>
        </w:tc>
        <w:tc>
          <w:tcPr>
            <w:tcW w:w="543" w:type="dxa"/>
            <w:tcBorders>
              <w:top w:val="nil"/>
              <w:left w:val="nil"/>
              <w:bottom w:val="nil"/>
              <w:right w:val="nil"/>
            </w:tcBorders>
            <w:shd w:val="clear" w:color="000000" w:fill="FFFFFF"/>
            <w:hideMark/>
          </w:tcPr>
          <w:p w14:paraId="3A13CF1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(13,6)</w:t>
            </w:r>
          </w:p>
        </w:tc>
        <w:tc>
          <w:tcPr>
            <w:tcW w:w="538" w:type="dxa"/>
            <w:tcBorders>
              <w:top w:val="nil"/>
              <w:left w:val="nil"/>
              <w:bottom w:val="nil"/>
              <w:right w:val="nil"/>
            </w:tcBorders>
            <w:shd w:val="clear" w:color="000000" w:fill="FFFFFF"/>
            <w:noWrap/>
            <w:hideMark/>
          </w:tcPr>
          <w:p w14:paraId="24FC3F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39,9</w:t>
            </w:r>
          </w:p>
        </w:tc>
        <w:tc>
          <w:tcPr>
            <w:tcW w:w="1325" w:type="dxa"/>
            <w:tcBorders>
              <w:top w:val="nil"/>
              <w:left w:val="nil"/>
              <w:bottom w:val="nil"/>
              <w:right w:val="nil"/>
            </w:tcBorders>
            <w:shd w:val="clear" w:color="000000" w:fill="FFFFFF"/>
            <w:hideMark/>
          </w:tcPr>
          <w:p w14:paraId="7C2B80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Dolor</w:t>
            </w:r>
          </w:p>
        </w:tc>
        <w:tc>
          <w:tcPr>
            <w:tcW w:w="871" w:type="dxa"/>
            <w:tcBorders>
              <w:top w:val="nil"/>
              <w:left w:val="nil"/>
              <w:bottom w:val="nil"/>
              <w:right w:val="nil"/>
            </w:tcBorders>
            <w:shd w:val="clear" w:color="000000" w:fill="FFFFFF"/>
            <w:noWrap/>
            <w:hideMark/>
          </w:tcPr>
          <w:p w14:paraId="2BDECF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nil"/>
              <w:left w:val="nil"/>
              <w:bottom w:val="nil"/>
              <w:right w:val="nil"/>
            </w:tcBorders>
            <w:shd w:val="clear" w:color="000000" w:fill="FFFFFF"/>
            <w:noWrap/>
            <w:hideMark/>
          </w:tcPr>
          <w:p w14:paraId="1DCC0C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w:t>
            </w:r>
          </w:p>
        </w:tc>
        <w:tc>
          <w:tcPr>
            <w:tcW w:w="872" w:type="dxa"/>
            <w:tcBorders>
              <w:top w:val="nil"/>
              <w:left w:val="nil"/>
              <w:bottom w:val="nil"/>
              <w:right w:val="nil"/>
            </w:tcBorders>
            <w:shd w:val="clear" w:color="000000" w:fill="FFFFFF"/>
            <w:noWrap/>
            <w:hideMark/>
          </w:tcPr>
          <w:p w14:paraId="37FE61B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150</w:t>
            </w:r>
            <w:r w:rsidRPr="00367BEC">
              <w:rPr>
                <w:rFonts w:ascii="Times New Roman" w:hAnsi="Times New Roman"/>
                <w:color w:val="000000"/>
                <w:sz w:val="16"/>
              </w:rPr>
              <w:t>/3134)</w:t>
            </w:r>
          </w:p>
        </w:tc>
        <w:tc>
          <w:tcPr>
            <w:tcW w:w="855" w:type="dxa"/>
            <w:tcBorders>
              <w:top w:val="nil"/>
              <w:left w:val="nil"/>
              <w:bottom w:val="nil"/>
              <w:right w:val="nil"/>
            </w:tcBorders>
            <w:shd w:val="clear" w:color="000000" w:fill="FFFFFF"/>
            <w:noWrap/>
            <w:hideMark/>
          </w:tcPr>
          <w:p w14:paraId="34F796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&lt;1m</w:t>
            </w:r>
          </w:p>
        </w:tc>
        <w:tc>
          <w:tcPr>
            <w:tcW w:w="360" w:type="dxa"/>
            <w:tcBorders>
              <w:top w:val="nil"/>
              <w:left w:val="nil"/>
              <w:bottom w:val="nil"/>
              <w:right w:val="nil"/>
            </w:tcBorders>
            <w:shd w:val="clear" w:color="000000" w:fill="FFFFFF"/>
            <w:noWrap/>
            <w:hideMark/>
          </w:tcPr>
          <w:p w14:paraId="194FD1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w:t>
            </w:r>
          </w:p>
        </w:tc>
        <w:tc>
          <w:tcPr>
            <w:tcW w:w="872" w:type="dxa"/>
            <w:tcBorders>
              <w:top w:val="nil"/>
              <w:left w:val="nil"/>
              <w:bottom w:val="nil"/>
              <w:right w:val="nil"/>
            </w:tcBorders>
            <w:shd w:val="clear" w:color="000000" w:fill="FFFFFF"/>
            <w:noWrap/>
            <w:hideMark/>
          </w:tcPr>
          <w:p w14:paraId="262942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(109/3134)</w:t>
            </w:r>
          </w:p>
        </w:tc>
        <w:tc>
          <w:tcPr>
            <w:tcW w:w="1293" w:type="dxa"/>
            <w:tcBorders>
              <w:top w:val="nil"/>
              <w:left w:val="nil"/>
              <w:bottom w:val="nil"/>
              <w:right w:val="nil"/>
            </w:tcBorders>
            <w:shd w:val="clear" w:color="000000" w:fill="FFFFFF"/>
            <w:noWrap/>
            <w:hideMark/>
          </w:tcPr>
          <w:p w14:paraId="17E86F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ECV</w:t>
            </w:r>
          </w:p>
        </w:tc>
        <w:tc>
          <w:tcPr>
            <w:tcW w:w="380" w:type="dxa"/>
            <w:tcBorders>
              <w:top w:val="nil"/>
              <w:left w:val="nil"/>
              <w:bottom w:val="nil"/>
              <w:right w:val="nil"/>
            </w:tcBorders>
            <w:shd w:val="clear" w:color="000000" w:fill="FFFFFF"/>
            <w:noWrap/>
            <w:hideMark/>
          </w:tcPr>
          <w:p w14:paraId="4B1232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55,4</w:t>
            </w:r>
          </w:p>
        </w:tc>
        <w:tc>
          <w:tcPr>
            <w:tcW w:w="1287" w:type="dxa"/>
            <w:gridSpan w:val="2"/>
            <w:tcBorders>
              <w:top w:val="nil"/>
              <w:left w:val="nil"/>
              <w:bottom w:val="nil"/>
              <w:right w:val="nil"/>
            </w:tcBorders>
            <w:shd w:val="clear" w:color="000000" w:fill="FFFFFF"/>
            <w:noWrap/>
            <w:hideMark/>
          </w:tcPr>
          <w:p w14:paraId="1423222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1736</w:t>
            </w:r>
            <w:r w:rsidRPr="00367BEC">
              <w:rPr>
                <w:rFonts w:ascii="Times New Roman" w:hAnsi="Times New Roman"/>
                <w:color w:val="000000"/>
                <w:sz w:val="16"/>
              </w:rPr>
              <w:t>/3134)</w:t>
            </w:r>
          </w:p>
        </w:tc>
      </w:tr>
      <w:tr w:rsidR="002E4D99" w:rsidRPr="00367BEC" w14:paraId="049BAECB" w14:textId="77777777" w:rsidTr="00CF1C1E">
        <w:trPr>
          <w:trHeight w:val="20"/>
        </w:trPr>
        <w:tc>
          <w:tcPr>
            <w:tcW w:w="1196" w:type="dxa"/>
            <w:tcBorders>
              <w:top w:val="nil"/>
              <w:left w:val="nil"/>
              <w:bottom w:val="nil"/>
              <w:right w:val="nil"/>
            </w:tcBorders>
            <w:shd w:val="clear" w:color="000000" w:fill="FFFFFF"/>
            <w:hideMark/>
          </w:tcPr>
          <w:p w14:paraId="5851D3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562F8B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90D04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3714D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2CA4F2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4F05E2A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2FD4D66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3319D3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169D7A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0482AE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(82,4 % ME/DOR)</w:t>
            </w:r>
          </w:p>
        </w:tc>
        <w:tc>
          <w:tcPr>
            <w:tcW w:w="871" w:type="dxa"/>
            <w:tcBorders>
              <w:top w:val="nil"/>
              <w:left w:val="nil"/>
              <w:bottom w:val="nil"/>
              <w:right w:val="nil"/>
            </w:tcBorders>
            <w:shd w:val="clear" w:color="000000" w:fill="FFFFFF"/>
            <w:noWrap/>
            <w:hideMark/>
          </w:tcPr>
          <w:p w14:paraId="2469A120" w14:textId="40B4DA52" w:rsidR="002E4D99" w:rsidRPr="00367BEC" w:rsidRDefault="00761D0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Nociceptivo</w:t>
            </w:r>
          </w:p>
        </w:tc>
        <w:tc>
          <w:tcPr>
            <w:tcW w:w="360" w:type="dxa"/>
            <w:tcBorders>
              <w:top w:val="nil"/>
              <w:left w:val="nil"/>
              <w:bottom w:val="nil"/>
              <w:right w:val="nil"/>
            </w:tcBorders>
            <w:shd w:val="clear" w:color="000000" w:fill="FFFFFF"/>
            <w:noWrap/>
            <w:hideMark/>
          </w:tcPr>
          <w:p w14:paraId="03571E3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5,6</w:t>
            </w:r>
          </w:p>
        </w:tc>
        <w:tc>
          <w:tcPr>
            <w:tcW w:w="872" w:type="dxa"/>
            <w:tcBorders>
              <w:top w:val="nil"/>
              <w:left w:val="nil"/>
              <w:bottom w:val="nil"/>
              <w:right w:val="nil"/>
            </w:tcBorders>
            <w:shd w:val="clear" w:color="000000" w:fill="FFFFFF"/>
            <w:noWrap/>
            <w:hideMark/>
          </w:tcPr>
          <w:p w14:paraId="402E28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176</w:t>
            </w:r>
            <w:r w:rsidRPr="00367BEC">
              <w:rPr>
                <w:rFonts w:ascii="Times New Roman" w:hAnsi="Times New Roman"/>
                <w:color w:val="000000"/>
                <w:sz w:val="16"/>
              </w:rPr>
              <w:t>/3134)</w:t>
            </w:r>
          </w:p>
        </w:tc>
        <w:tc>
          <w:tcPr>
            <w:tcW w:w="855" w:type="dxa"/>
            <w:tcBorders>
              <w:top w:val="nil"/>
              <w:left w:val="nil"/>
              <w:bottom w:val="nil"/>
              <w:right w:val="nil"/>
            </w:tcBorders>
            <w:shd w:val="clear" w:color="000000" w:fill="FFFFFF"/>
            <w:noWrap/>
            <w:hideMark/>
          </w:tcPr>
          <w:p w14:paraId="45CBE3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1-3m</w:t>
            </w:r>
          </w:p>
        </w:tc>
        <w:tc>
          <w:tcPr>
            <w:tcW w:w="360" w:type="dxa"/>
            <w:tcBorders>
              <w:top w:val="nil"/>
              <w:left w:val="nil"/>
              <w:bottom w:val="nil"/>
              <w:right w:val="nil"/>
            </w:tcBorders>
            <w:shd w:val="clear" w:color="000000" w:fill="FFFFFF"/>
            <w:noWrap/>
            <w:hideMark/>
          </w:tcPr>
          <w:p w14:paraId="39E504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9,3</w:t>
            </w:r>
          </w:p>
        </w:tc>
        <w:tc>
          <w:tcPr>
            <w:tcW w:w="872" w:type="dxa"/>
            <w:tcBorders>
              <w:top w:val="nil"/>
              <w:left w:val="nil"/>
              <w:bottom w:val="nil"/>
              <w:right w:val="nil"/>
            </w:tcBorders>
            <w:shd w:val="clear" w:color="000000" w:fill="FFFFFF"/>
            <w:noWrap/>
            <w:hideMark/>
          </w:tcPr>
          <w:p w14:paraId="21E55ED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(290/3134)</w:t>
            </w:r>
          </w:p>
        </w:tc>
        <w:tc>
          <w:tcPr>
            <w:tcW w:w="1293" w:type="dxa"/>
            <w:tcBorders>
              <w:top w:val="nil"/>
              <w:left w:val="nil"/>
              <w:bottom w:val="nil"/>
              <w:right w:val="nil"/>
            </w:tcBorders>
            <w:shd w:val="clear" w:color="000000" w:fill="FFFFFF"/>
            <w:noWrap/>
            <w:hideMark/>
          </w:tcPr>
          <w:p w14:paraId="77735B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Trastorno metabólico</w:t>
            </w:r>
          </w:p>
        </w:tc>
        <w:tc>
          <w:tcPr>
            <w:tcW w:w="380" w:type="dxa"/>
            <w:tcBorders>
              <w:top w:val="nil"/>
              <w:left w:val="nil"/>
              <w:bottom w:val="nil"/>
              <w:right w:val="nil"/>
            </w:tcBorders>
            <w:shd w:val="clear" w:color="000000" w:fill="FFFFFF"/>
            <w:noWrap/>
            <w:hideMark/>
          </w:tcPr>
          <w:p w14:paraId="1F8A4D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33,6</w:t>
            </w:r>
          </w:p>
        </w:tc>
        <w:tc>
          <w:tcPr>
            <w:tcW w:w="1287" w:type="dxa"/>
            <w:gridSpan w:val="2"/>
            <w:tcBorders>
              <w:top w:val="nil"/>
              <w:left w:val="nil"/>
              <w:bottom w:val="nil"/>
              <w:right w:val="nil"/>
            </w:tcBorders>
            <w:shd w:val="clear" w:color="000000" w:fill="FFFFFF"/>
            <w:noWrap/>
            <w:hideMark/>
          </w:tcPr>
          <w:p w14:paraId="17BB398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1053</w:t>
            </w:r>
            <w:r w:rsidRPr="00367BEC">
              <w:rPr>
                <w:rFonts w:ascii="Times New Roman" w:hAnsi="Times New Roman"/>
                <w:color w:val="000000"/>
                <w:sz w:val="16"/>
              </w:rPr>
              <w:t>/3134)</w:t>
            </w:r>
          </w:p>
        </w:tc>
      </w:tr>
      <w:tr w:rsidR="002E4D99" w:rsidRPr="00367BEC" w14:paraId="72A8E441" w14:textId="77777777" w:rsidTr="00CF1C1E">
        <w:trPr>
          <w:trHeight w:val="20"/>
        </w:trPr>
        <w:tc>
          <w:tcPr>
            <w:tcW w:w="1196" w:type="dxa"/>
            <w:tcBorders>
              <w:top w:val="nil"/>
              <w:left w:val="nil"/>
              <w:bottom w:val="nil"/>
              <w:right w:val="nil"/>
            </w:tcBorders>
            <w:shd w:val="clear" w:color="000000" w:fill="FFFFFF"/>
            <w:hideMark/>
          </w:tcPr>
          <w:p w14:paraId="638D49A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3E50914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33E2D8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0972E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62DF42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2A03772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6200130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37E6BBE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29C4386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67B4C84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1D74CF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nil"/>
              <w:right w:val="nil"/>
            </w:tcBorders>
            <w:shd w:val="clear" w:color="000000" w:fill="FFFFFF"/>
            <w:noWrap/>
            <w:hideMark/>
          </w:tcPr>
          <w:p w14:paraId="254064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84,3</w:t>
            </w:r>
          </w:p>
        </w:tc>
        <w:tc>
          <w:tcPr>
            <w:tcW w:w="872" w:type="dxa"/>
            <w:tcBorders>
              <w:top w:val="nil"/>
              <w:left w:val="nil"/>
              <w:bottom w:val="nil"/>
              <w:right w:val="nil"/>
            </w:tcBorders>
            <w:shd w:val="clear" w:color="000000" w:fill="FFFFFF"/>
            <w:noWrap/>
            <w:hideMark/>
          </w:tcPr>
          <w:p w14:paraId="32652B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2642</w:t>
            </w:r>
            <w:r w:rsidRPr="00367BEC">
              <w:rPr>
                <w:rFonts w:ascii="Times New Roman" w:hAnsi="Times New Roman"/>
                <w:color w:val="000000"/>
                <w:sz w:val="16"/>
              </w:rPr>
              <w:t>/3134)</w:t>
            </w:r>
          </w:p>
        </w:tc>
        <w:tc>
          <w:tcPr>
            <w:tcW w:w="855" w:type="dxa"/>
            <w:tcBorders>
              <w:top w:val="nil"/>
              <w:left w:val="nil"/>
              <w:bottom w:val="nil"/>
              <w:right w:val="nil"/>
            </w:tcBorders>
            <w:shd w:val="clear" w:color="000000" w:fill="FFFFFF"/>
            <w:noWrap/>
            <w:hideMark/>
          </w:tcPr>
          <w:p w14:paraId="6E43D2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&gt;3-6 m</w:t>
            </w:r>
          </w:p>
        </w:tc>
        <w:tc>
          <w:tcPr>
            <w:tcW w:w="360" w:type="dxa"/>
            <w:tcBorders>
              <w:top w:val="nil"/>
              <w:left w:val="nil"/>
              <w:bottom w:val="nil"/>
              <w:right w:val="nil"/>
            </w:tcBorders>
            <w:shd w:val="clear" w:color="000000" w:fill="FFFFFF"/>
            <w:noWrap/>
            <w:hideMark/>
          </w:tcPr>
          <w:p w14:paraId="3AFBE1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11,8</w:t>
            </w:r>
          </w:p>
        </w:tc>
        <w:tc>
          <w:tcPr>
            <w:tcW w:w="872" w:type="dxa"/>
            <w:tcBorders>
              <w:top w:val="nil"/>
              <w:left w:val="nil"/>
              <w:bottom w:val="nil"/>
              <w:right w:val="nil"/>
            </w:tcBorders>
            <w:shd w:val="clear" w:color="000000" w:fill="FFFFFF"/>
            <w:noWrap/>
            <w:hideMark/>
          </w:tcPr>
          <w:p w14:paraId="6C0178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(369/3134)</w:t>
            </w:r>
          </w:p>
        </w:tc>
        <w:tc>
          <w:tcPr>
            <w:tcW w:w="1293" w:type="dxa"/>
            <w:tcBorders>
              <w:top w:val="nil"/>
              <w:left w:val="nil"/>
              <w:bottom w:val="nil"/>
              <w:right w:val="nil"/>
            </w:tcBorders>
            <w:shd w:val="clear" w:color="000000" w:fill="FFFFFF"/>
            <w:noWrap/>
            <w:hideMark/>
          </w:tcPr>
          <w:p w14:paraId="0F6E92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Trastorno mental</w:t>
            </w:r>
          </w:p>
        </w:tc>
        <w:tc>
          <w:tcPr>
            <w:tcW w:w="380" w:type="dxa"/>
            <w:tcBorders>
              <w:top w:val="nil"/>
              <w:left w:val="nil"/>
              <w:bottom w:val="nil"/>
              <w:right w:val="nil"/>
            </w:tcBorders>
            <w:shd w:val="clear" w:color="000000" w:fill="FFFFFF"/>
            <w:noWrap/>
            <w:hideMark/>
          </w:tcPr>
          <w:p w14:paraId="1FFBF5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22,8</w:t>
            </w:r>
          </w:p>
        </w:tc>
        <w:tc>
          <w:tcPr>
            <w:tcW w:w="1287" w:type="dxa"/>
            <w:gridSpan w:val="2"/>
            <w:tcBorders>
              <w:top w:val="nil"/>
              <w:left w:val="nil"/>
              <w:bottom w:val="nil"/>
              <w:right w:val="nil"/>
            </w:tcBorders>
            <w:shd w:val="clear" w:color="000000" w:fill="FFFFFF"/>
            <w:noWrap/>
            <w:hideMark/>
          </w:tcPr>
          <w:p w14:paraId="200B75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715</w:t>
            </w:r>
            <w:r w:rsidRPr="00367BEC">
              <w:rPr>
                <w:rFonts w:ascii="Times New Roman" w:hAnsi="Times New Roman"/>
                <w:color w:val="000000"/>
                <w:sz w:val="16"/>
              </w:rPr>
              <w:t>/3134)</w:t>
            </w:r>
          </w:p>
        </w:tc>
      </w:tr>
      <w:tr w:rsidR="002E4D99" w:rsidRPr="00367BEC" w14:paraId="765DD2D7" w14:textId="77777777" w:rsidTr="00CF1C1E">
        <w:trPr>
          <w:trHeight w:val="20"/>
        </w:trPr>
        <w:tc>
          <w:tcPr>
            <w:tcW w:w="1196" w:type="dxa"/>
            <w:tcBorders>
              <w:top w:val="nil"/>
              <w:left w:val="nil"/>
              <w:bottom w:val="nil"/>
              <w:right w:val="nil"/>
            </w:tcBorders>
            <w:shd w:val="clear" w:color="000000" w:fill="FFFFFF"/>
            <w:hideMark/>
          </w:tcPr>
          <w:p w14:paraId="544989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242CBE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63A66D1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02B496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64F20F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35446CE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1D11DB8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511F206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322A29B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1690253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32F02B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2B4939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248FF86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423A5A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&gt;6 m-1 a</w:t>
            </w:r>
          </w:p>
        </w:tc>
        <w:tc>
          <w:tcPr>
            <w:tcW w:w="360" w:type="dxa"/>
            <w:tcBorders>
              <w:top w:val="nil"/>
              <w:left w:val="nil"/>
              <w:bottom w:val="nil"/>
              <w:right w:val="nil"/>
            </w:tcBorders>
            <w:shd w:val="clear" w:color="000000" w:fill="FFFFFF"/>
            <w:noWrap/>
            <w:hideMark/>
          </w:tcPr>
          <w:p w14:paraId="53A4E4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w:t>
            </w:r>
          </w:p>
        </w:tc>
        <w:tc>
          <w:tcPr>
            <w:tcW w:w="872" w:type="dxa"/>
            <w:tcBorders>
              <w:top w:val="nil"/>
              <w:left w:val="nil"/>
              <w:bottom w:val="nil"/>
              <w:right w:val="nil"/>
            </w:tcBorders>
            <w:shd w:val="clear" w:color="000000" w:fill="FFFFFF"/>
            <w:noWrap/>
            <w:hideMark/>
          </w:tcPr>
          <w:p w14:paraId="77EE26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(417/3134)</w:t>
            </w:r>
          </w:p>
        </w:tc>
        <w:tc>
          <w:tcPr>
            <w:tcW w:w="1293" w:type="dxa"/>
            <w:tcBorders>
              <w:top w:val="nil"/>
              <w:left w:val="nil"/>
              <w:bottom w:val="nil"/>
              <w:right w:val="nil"/>
            </w:tcBorders>
            <w:shd w:val="clear" w:color="000000" w:fill="FFFFFF"/>
            <w:noWrap/>
            <w:hideMark/>
          </w:tcPr>
          <w:p w14:paraId="0642C3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4A59DAD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742CD11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25B1B15" w14:textId="77777777" w:rsidTr="00CF1C1E">
        <w:trPr>
          <w:trHeight w:val="20"/>
        </w:trPr>
        <w:tc>
          <w:tcPr>
            <w:tcW w:w="1196" w:type="dxa"/>
            <w:tcBorders>
              <w:top w:val="nil"/>
              <w:left w:val="nil"/>
              <w:bottom w:val="nil"/>
              <w:right w:val="nil"/>
            </w:tcBorders>
            <w:shd w:val="clear" w:color="000000" w:fill="FFFFFF"/>
            <w:hideMark/>
          </w:tcPr>
          <w:p w14:paraId="086E75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0A138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3FEBE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ED9A6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6ED7C5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66C7056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7C279AA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66609F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6399DD4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20CB4A6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31F3430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5C5FB1B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5E32C16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C3379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&gt;1-2 a</w:t>
            </w:r>
          </w:p>
        </w:tc>
        <w:tc>
          <w:tcPr>
            <w:tcW w:w="360" w:type="dxa"/>
            <w:tcBorders>
              <w:top w:val="nil"/>
              <w:left w:val="nil"/>
              <w:bottom w:val="nil"/>
              <w:right w:val="nil"/>
            </w:tcBorders>
            <w:shd w:val="clear" w:color="000000" w:fill="FFFFFF"/>
            <w:noWrap/>
            <w:hideMark/>
          </w:tcPr>
          <w:p w14:paraId="3DB689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14,5</w:t>
            </w:r>
          </w:p>
        </w:tc>
        <w:tc>
          <w:tcPr>
            <w:tcW w:w="872" w:type="dxa"/>
            <w:tcBorders>
              <w:top w:val="nil"/>
              <w:left w:val="nil"/>
              <w:bottom w:val="nil"/>
              <w:right w:val="nil"/>
            </w:tcBorders>
            <w:shd w:val="clear" w:color="000000" w:fill="FFFFFF"/>
            <w:noWrap/>
            <w:hideMark/>
          </w:tcPr>
          <w:p w14:paraId="1EC25D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(453/3134)</w:t>
            </w:r>
          </w:p>
        </w:tc>
        <w:tc>
          <w:tcPr>
            <w:tcW w:w="1293" w:type="dxa"/>
            <w:tcBorders>
              <w:top w:val="nil"/>
              <w:left w:val="nil"/>
              <w:bottom w:val="nil"/>
              <w:right w:val="nil"/>
            </w:tcBorders>
            <w:shd w:val="clear" w:color="000000" w:fill="FFFFFF"/>
            <w:noWrap/>
            <w:hideMark/>
          </w:tcPr>
          <w:p w14:paraId="2193A2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37CB56B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0EC97A0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2E867C49" w14:textId="77777777" w:rsidTr="00CF1C1E">
        <w:trPr>
          <w:trHeight w:val="20"/>
        </w:trPr>
        <w:tc>
          <w:tcPr>
            <w:tcW w:w="1196" w:type="dxa"/>
            <w:tcBorders>
              <w:top w:val="nil"/>
              <w:left w:val="nil"/>
              <w:bottom w:val="nil"/>
              <w:right w:val="nil"/>
            </w:tcBorders>
            <w:shd w:val="clear" w:color="000000" w:fill="FFFFFF"/>
            <w:hideMark/>
          </w:tcPr>
          <w:p w14:paraId="5C2AEB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75A670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D3966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6E13D3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4" w:space="0" w:color="D0CECE" w:themeColor="background2" w:themeShade="E6"/>
              <w:right w:val="nil"/>
            </w:tcBorders>
            <w:shd w:val="clear" w:color="000000" w:fill="FFFFFF"/>
            <w:hideMark/>
          </w:tcPr>
          <w:p w14:paraId="09A5CF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4" w:space="0" w:color="D0CECE" w:themeColor="background2" w:themeShade="E6"/>
              <w:right w:val="nil"/>
            </w:tcBorders>
            <w:shd w:val="clear" w:color="000000" w:fill="FFFFFF"/>
            <w:noWrap/>
            <w:hideMark/>
          </w:tcPr>
          <w:p w14:paraId="390A175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4" w:space="0" w:color="D0CECE" w:themeColor="background2" w:themeShade="E6"/>
              <w:right w:val="nil"/>
            </w:tcBorders>
            <w:shd w:val="clear" w:color="000000" w:fill="FFFFFF"/>
            <w:noWrap/>
            <w:hideMark/>
          </w:tcPr>
          <w:p w14:paraId="532D3EB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4" w:space="0" w:color="D0CECE" w:themeColor="background2" w:themeShade="E6"/>
              <w:right w:val="nil"/>
            </w:tcBorders>
            <w:shd w:val="clear" w:color="000000" w:fill="FFFFFF"/>
            <w:hideMark/>
          </w:tcPr>
          <w:p w14:paraId="09CBC67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4" w:space="0" w:color="D0CECE" w:themeColor="background2" w:themeShade="E6"/>
              <w:right w:val="nil"/>
            </w:tcBorders>
            <w:shd w:val="clear" w:color="000000" w:fill="FFFFFF"/>
            <w:noWrap/>
            <w:hideMark/>
          </w:tcPr>
          <w:p w14:paraId="698A018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4" w:space="0" w:color="D0CECE" w:themeColor="background2" w:themeShade="E6"/>
              <w:right w:val="nil"/>
            </w:tcBorders>
            <w:shd w:val="clear" w:color="000000" w:fill="FFFFFF"/>
            <w:hideMark/>
          </w:tcPr>
          <w:p w14:paraId="6E6A3FC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4" w:space="0" w:color="D0CECE" w:themeColor="background2" w:themeShade="E6"/>
              <w:right w:val="nil"/>
            </w:tcBorders>
            <w:shd w:val="clear" w:color="000000" w:fill="FFFFFF"/>
            <w:noWrap/>
            <w:hideMark/>
          </w:tcPr>
          <w:p w14:paraId="7D1DD96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4" w:space="0" w:color="D0CECE" w:themeColor="background2" w:themeShade="E6"/>
              <w:right w:val="nil"/>
            </w:tcBorders>
            <w:shd w:val="clear" w:color="000000" w:fill="FFFFFF"/>
            <w:noWrap/>
            <w:hideMark/>
          </w:tcPr>
          <w:p w14:paraId="7D297D0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4" w:space="0" w:color="D0CECE" w:themeColor="background2" w:themeShade="E6"/>
              <w:right w:val="nil"/>
            </w:tcBorders>
            <w:shd w:val="clear" w:color="000000" w:fill="FFFFFF"/>
            <w:noWrap/>
            <w:hideMark/>
          </w:tcPr>
          <w:p w14:paraId="3BADB20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single" w:sz="4" w:space="0" w:color="D0CECE" w:themeColor="background2" w:themeShade="E6"/>
              <w:right w:val="nil"/>
            </w:tcBorders>
            <w:shd w:val="clear" w:color="000000" w:fill="FFFFFF"/>
            <w:noWrap/>
            <w:hideMark/>
          </w:tcPr>
          <w:p w14:paraId="1193C3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&gt;2 a</w:t>
            </w:r>
          </w:p>
        </w:tc>
        <w:tc>
          <w:tcPr>
            <w:tcW w:w="360" w:type="dxa"/>
            <w:tcBorders>
              <w:top w:val="nil"/>
              <w:left w:val="nil"/>
              <w:bottom w:val="single" w:sz="4" w:space="0" w:color="D0CECE" w:themeColor="background2" w:themeShade="E6"/>
              <w:right w:val="nil"/>
            </w:tcBorders>
            <w:shd w:val="clear" w:color="000000" w:fill="FFFFFF"/>
            <w:noWrap/>
            <w:hideMark/>
          </w:tcPr>
          <w:p w14:paraId="6CD0784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47,5</w:t>
            </w:r>
          </w:p>
        </w:tc>
        <w:tc>
          <w:tcPr>
            <w:tcW w:w="872" w:type="dxa"/>
            <w:tcBorders>
              <w:top w:val="nil"/>
              <w:left w:val="nil"/>
              <w:bottom w:val="single" w:sz="4" w:space="0" w:color="D0CECE" w:themeColor="background2" w:themeShade="E6"/>
              <w:right w:val="nil"/>
            </w:tcBorders>
            <w:shd w:val="clear" w:color="000000" w:fill="FFFFFF"/>
            <w:noWrap/>
            <w:hideMark/>
          </w:tcPr>
          <w:p w14:paraId="14A3D8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(1488/3134)</w:t>
            </w:r>
          </w:p>
        </w:tc>
        <w:tc>
          <w:tcPr>
            <w:tcW w:w="1293" w:type="dxa"/>
            <w:tcBorders>
              <w:top w:val="nil"/>
              <w:left w:val="nil"/>
              <w:bottom w:val="single" w:sz="4" w:space="0" w:color="D0CECE" w:themeColor="background2" w:themeShade="E6"/>
              <w:right w:val="nil"/>
            </w:tcBorders>
            <w:shd w:val="clear" w:color="000000" w:fill="FFFFFF"/>
            <w:noWrap/>
            <w:hideMark/>
          </w:tcPr>
          <w:p w14:paraId="6CB9291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4" w:space="0" w:color="D0CECE" w:themeColor="background2" w:themeShade="E6"/>
              <w:right w:val="nil"/>
            </w:tcBorders>
            <w:shd w:val="clear" w:color="000000" w:fill="FFFFFF"/>
            <w:noWrap/>
            <w:hideMark/>
          </w:tcPr>
          <w:p w14:paraId="166A4A7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4" w:space="0" w:color="D0CECE" w:themeColor="background2" w:themeShade="E6"/>
              <w:right w:val="nil"/>
            </w:tcBorders>
            <w:shd w:val="clear" w:color="000000" w:fill="FFFFFF"/>
            <w:noWrap/>
            <w:hideMark/>
          </w:tcPr>
          <w:p w14:paraId="06B6D14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074292C8" w14:textId="77777777" w:rsidTr="00CF1C1E">
        <w:trPr>
          <w:trHeight w:val="120"/>
        </w:trPr>
        <w:tc>
          <w:tcPr>
            <w:tcW w:w="1196" w:type="dxa"/>
            <w:tcBorders>
              <w:top w:val="nil"/>
              <w:left w:val="nil"/>
              <w:bottom w:val="nil"/>
              <w:right w:val="nil"/>
            </w:tcBorders>
            <w:shd w:val="clear" w:color="000000" w:fill="FFFFFF"/>
            <w:hideMark/>
          </w:tcPr>
          <w:p w14:paraId="785AD5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4FCD19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A664B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11756A2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single" w:sz="4" w:space="0" w:color="D0CECE" w:themeColor="background2" w:themeShade="E6"/>
              <w:left w:val="nil"/>
              <w:bottom w:val="nil"/>
              <w:right w:val="nil"/>
            </w:tcBorders>
            <w:shd w:val="clear" w:color="000000" w:fill="FFFFFF"/>
            <w:hideMark/>
          </w:tcPr>
          <w:p w14:paraId="607747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w:t>
            </w:r>
            <w:proofErr w:type="spellStart"/>
            <w:r w:rsidRPr="00367BEC">
              <w:rPr>
                <w:rFonts w:ascii="Times New Roman" w:hAnsi="Times New Roman"/>
                <w:color w:val="000000"/>
                <w:sz w:val="16"/>
              </w:rPr>
              <w:t>PR</w:t>
            </w:r>
            <w:r w:rsidRPr="00367BEC">
              <w:rPr>
                <w:rFonts w:ascii="Times New Roman" w:hAnsi="Times New Roman"/>
                <w:b/>
                <w:color w:val="000000"/>
                <w:sz w:val="20"/>
                <w:vertAlign w:val="superscript"/>
              </w:rPr>
              <w:t>b</w:t>
            </w:r>
            <w:proofErr w:type="spellEnd"/>
          </w:p>
        </w:tc>
        <w:tc>
          <w:tcPr>
            <w:tcW w:w="400" w:type="dxa"/>
            <w:tcBorders>
              <w:top w:val="single" w:sz="4" w:space="0" w:color="D0CECE" w:themeColor="background2" w:themeShade="E6"/>
              <w:left w:val="nil"/>
              <w:bottom w:val="nil"/>
              <w:right w:val="nil"/>
            </w:tcBorders>
            <w:shd w:val="clear" w:color="000000" w:fill="FFFFFF"/>
            <w:noWrap/>
            <w:hideMark/>
          </w:tcPr>
          <w:p w14:paraId="5B0266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w:t>
            </w:r>
          </w:p>
        </w:tc>
        <w:tc>
          <w:tcPr>
            <w:tcW w:w="360" w:type="dxa"/>
            <w:tcBorders>
              <w:top w:val="single" w:sz="4" w:space="0" w:color="D0CECE" w:themeColor="background2" w:themeShade="E6"/>
              <w:left w:val="nil"/>
              <w:bottom w:val="nil"/>
              <w:right w:val="nil"/>
            </w:tcBorders>
            <w:shd w:val="clear" w:color="000000" w:fill="FFFFFF"/>
            <w:noWrap/>
            <w:hideMark/>
          </w:tcPr>
          <w:p w14:paraId="062C36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68,1</w:t>
            </w:r>
          </w:p>
        </w:tc>
        <w:tc>
          <w:tcPr>
            <w:tcW w:w="543" w:type="dxa"/>
            <w:tcBorders>
              <w:top w:val="single" w:sz="4" w:space="0" w:color="D0CECE" w:themeColor="background2" w:themeShade="E6"/>
              <w:left w:val="nil"/>
              <w:bottom w:val="nil"/>
              <w:right w:val="nil"/>
            </w:tcBorders>
            <w:shd w:val="clear" w:color="000000" w:fill="FFFFFF"/>
            <w:hideMark/>
          </w:tcPr>
          <w:p w14:paraId="692C19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(13,7)</w:t>
            </w:r>
          </w:p>
        </w:tc>
        <w:tc>
          <w:tcPr>
            <w:tcW w:w="538" w:type="dxa"/>
            <w:tcBorders>
              <w:top w:val="single" w:sz="4" w:space="0" w:color="D0CECE" w:themeColor="background2" w:themeShade="E6"/>
              <w:left w:val="nil"/>
              <w:bottom w:val="nil"/>
              <w:right w:val="nil"/>
            </w:tcBorders>
            <w:shd w:val="clear" w:color="000000" w:fill="FFFFFF"/>
            <w:noWrap/>
            <w:hideMark/>
          </w:tcPr>
          <w:p w14:paraId="5BD7D1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38,0</w:t>
            </w:r>
          </w:p>
        </w:tc>
        <w:tc>
          <w:tcPr>
            <w:tcW w:w="1325" w:type="dxa"/>
            <w:tcBorders>
              <w:top w:val="single" w:sz="4" w:space="0" w:color="D0CECE" w:themeColor="background2" w:themeShade="E6"/>
              <w:left w:val="nil"/>
              <w:bottom w:val="nil"/>
              <w:right w:val="nil"/>
            </w:tcBorders>
            <w:shd w:val="clear" w:color="000000" w:fill="FFFFFF"/>
            <w:hideMark/>
          </w:tcPr>
          <w:p w14:paraId="018CD4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Dolor</w:t>
            </w:r>
          </w:p>
        </w:tc>
        <w:tc>
          <w:tcPr>
            <w:tcW w:w="871" w:type="dxa"/>
            <w:tcBorders>
              <w:top w:val="single" w:sz="4" w:space="0" w:color="D0CECE" w:themeColor="background2" w:themeShade="E6"/>
              <w:left w:val="nil"/>
              <w:bottom w:val="nil"/>
              <w:right w:val="nil"/>
            </w:tcBorders>
            <w:shd w:val="clear" w:color="000000" w:fill="FFFFFF"/>
            <w:noWrap/>
            <w:hideMark/>
          </w:tcPr>
          <w:p w14:paraId="12CA74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4" w:space="0" w:color="D0CECE" w:themeColor="background2" w:themeShade="E6"/>
              <w:left w:val="nil"/>
              <w:bottom w:val="nil"/>
              <w:right w:val="nil"/>
            </w:tcBorders>
            <w:shd w:val="clear" w:color="000000" w:fill="FFFFFF"/>
            <w:noWrap/>
            <w:hideMark/>
          </w:tcPr>
          <w:p w14:paraId="7BE57AB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4" w:space="0" w:color="D0CECE" w:themeColor="background2" w:themeShade="E6"/>
              <w:left w:val="nil"/>
              <w:bottom w:val="nil"/>
              <w:right w:val="nil"/>
            </w:tcBorders>
            <w:shd w:val="clear" w:color="000000" w:fill="FFFFFF"/>
            <w:noWrap/>
            <w:hideMark/>
          </w:tcPr>
          <w:p w14:paraId="2DA2C19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single" w:sz="4" w:space="0" w:color="D0CECE" w:themeColor="background2" w:themeShade="E6"/>
              <w:left w:val="nil"/>
              <w:bottom w:val="nil"/>
              <w:right w:val="nil"/>
            </w:tcBorders>
            <w:shd w:val="clear" w:color="000000" w:fill="FFFFFF"/>
            <w:noWrap/>
            <w:hideMark/>
          </w:tcPr>
          <w:p w14:paraId="57E9E27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&gt;1m</w:t>
            </w:r>
          </w:p>
        </w:tc>
        <w:tc>
          <w:tcPr>
            <w:tcW w:w="360" w:type="dxa"/>
            <w:tcBorders>
              <w:top w:val="single" w:sz="4" w:space="0" w:color="D0CECE" w:themeColor="background2" w:themeShade="E6"/>
              <w:left w:val="nil"/>
              <w:bottom w:val="nil"/>
              <w:right w:val="nil"/>
            </w:tcBorders>
            <w:shd w:val="clear" w:color="000000" w:fill="FFFFFF"/>
            <w:noWrap/>
            <w:hideMark/>
          </w:tcPr>
          <w:p w14:paraId="42A218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p>
        </w:tc>
        <w:tc>
          <w:tcPr>
            <w:tcW w:w="872" w:type="dxa"/>
            <w:tcBorders>
              <w:top w:val="single" w:sz="4" w:space="0" w:color="D0CECE" w:themeColor="background2" w:themeShade="E6"/>
              <w:left w:val="nil"/>
              <w:bottom w:val="nil"/>
              <w:right w:val="nil"/>
            </w:tcBorders>
            <w:shd w:val="clear" w:color="000000" w:fill="FFFFFF"/>
            <w:noWrap/>
            <w:hideMark/>
          </w:tcPr>
          <w:p w14:paraId="5F89E08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(14/1331)</w:t>
            </w:r>
          </w:p>
        </w:tc>
        <w:tc>
          <w:tcPr>
            <w:tcW w:w="1293" w:type="dxa"/>
            <w:tcBorders>
              <w:top w:val="single" w:sz="4" w:space="0" w:color="D0CECE" w:themeColor="background2" w:themeShade="E6"/>
              <w:left w:val="nil"/>
              <w:bottom w:val="nil"/>
              <w:right w:val="nil"/>
            </w:tcBorders>
            <w:shd w:val="clear" w:color="000000" w:fill="FFFFFF"/>
            <w:noWrap/>
            <w:hideMark/>
          </w:tcPr>
          <w:p w14:paraId="4776EC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4" w:space="0" w:color="D0CECE" w:themeColor="background2" w:themeShade="E6"/>
              <w:left w:val="nil"/>
              <w:bottom w:val="nil"/>
              <w:right w:val="nil"/>
            </w:tcBorders>
            <w:shd w:val="clear" w:color="000000" w:fill="FFFFFF"/>
            <w:noWrap/>
            <w:hideMark/>
          </w:tcPr>
          <w:p w14:paraId="38595F4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single" w:sz="4" w:space="0" w:color="D0CECE" w:themeColor="background2" w:themeShade="E6"/>
              <w:left w:val="nil"/>
              <w:bottom w:val="nil"/>
              <w:right w:val="nil"/>
            </w:tcBorders>
            <w:shd w:val="clear" w:color="000000" w:fill="FFFFFF"/>
            <w:noWrap/>
            <w:hideMark/>
          </w:tcPr>
          <w:p w14:paraId="57A8F16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1822DF6" w14:textId="77777777" w:rsidTr="00CF1C1E">
        <w:trPr>
          <w:trHeight w:val="20"/>
        </w:trPr>
        <w:tc>
          <w:tcPr>
            <w:tcW w:w="1196" w:type="dxa"/>
            <w:tcBorders>
              <w:top w:val="nil"/>
              <w:left w:val="nil"/>
              <w:bottom w:val="nil"/>
              <w:right w:val="nil"/>
            </w:tcBorders>
            <w:shd w:val="clear" w:color="000000" w:fill="FFFFFF"/>
            <w:hideMark/>
          </w:tcPr>
          <w:p w14:paraId="2005AE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4FB359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0444390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484D74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5E8D58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6F91194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2C84A15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772EAF4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5506BF0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7EDB95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(83,5 % ME/DOR)</w:t>
            </w:r>
          </w:p>
        </w:tc>
        <w:tc>
          <w:tcPr>
            <w:tcW w:w="871" w:type="dxa"/>
            <w:tcBorders>
              <w:top w:val="nil"/>
              <w:left w:val="nil"/>
              <w:bottom w:val="nil"/>
              <w:right w:val="nil"/>
            </w:tcBorders>
            <w:shd w:val="clear" w:color="000000" w:fill="FFFFFF"/>
            <w:noWrap/>
            <w:hideMark/>
          </w:tcPr>
          <w:p w14:paraId="490382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26C0C5E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4C74484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2405386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1-3m</w:t>
            </w:r>
          </w:p>
        </w:tc>
        <w:tc>
          <w:tcPr>
            <w:tcW w:w="360" w:type="dxa"/>
            <w:tcBorders>
              <w:top w:val="nil"/>
              <w:left w:val="nil"/>
              <w:bottom w:val="nil"/>
              <w:right w:val="nil"/>
            </w:tcBorders>
            <w:shd w:val="clear" w:color="000000" w:fill="FFFFFF"/>
            <w:noWrap/>
            <w:hideMark/>
          </w:tcPr>
          <w:p w14:paraId="775106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w:t>
            </w:r>
          </w:p>
        </w:tc>
        <w:tc>
          <w:tcPr>
            <w:tcW w:w="872" w:type="dxa"/>
            <w:tcBorders>
              <w:top w:val="nil"/>
              <w:left w:val="nil"/>
              <w:bottom w:val="nil"/>
              <w:right w:val="nil"/>
            </w:tcBorders>
            <w:shd w:val="clear" w:color="000000" w:fill="FFFFFF"/>
            <w:noWrap/>
            <w:hideMark/>
          </w:tcPr>
          <w:p w14:paraId="7A631E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(73/1331)</w:t>
            </w:r>
          </w:p>
        </w:tc>
        <w:tc>
          <w:tcPr>
            <w:tcW w:w="1293" w:type="dxa"/>
            <w:tcBorders>
              <w:top w:val="nil"/>
              <w:left w:val="nil"/>
              <w:bottom w:val="nil"/>
              <w:right w:val="nil"/>
            </w:tcBorders>
            <w:shd w:val="clear" w:color="000000" w:fill="FFFFFF"/>
            <w:noWrap/>
            <w:hideMark/>
          </w:tcPr>
          <w:p w14:paraId="479540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43CCFDE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2A35802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48320D11" w14:textId="77777777" w:rsidTr="00CF1C1E">
        <w:trPr>
          <w:trHeight w:val="20"/>
        </w:trPr>
        <w:tc>
          <w:tcPr>
            <w:tcW w:w="1196" w:type="dxa"/>
            <w:tcBorders>
              <w:top w:val="nil"/>
              <w:left w:val="nil"/>
              <w:bottom w:val="nil"/>
              <w:right w:val="nil"/>
            </w:tcBorders>
            <w:shd w:val="clear" w:color="000000" w:fill="FFFFFF"/>
            <w:hideMark/>
          </w:tcPr>
          <w:p w14:paraId="5A2A0F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A9CF4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256DA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91082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79679B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16D5021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04BE6BC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183A4E7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0FE137E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4E293D8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1F2A43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337ACE6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94E149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1378113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&gt;3-6 m</w:t>
            </w:r>
          </w:p>
        </w:tc>
        <w:tc>
          <w:tcPr>
            <w:tcW w:w="360" w:type="dxa"/>
            <w:tcBorders>
              <w:top w:val="nil"/>
              <w:left w:val="nil"/>
              <w:bottom w:val="nil"/>
              <w:right w:val="nil"/>
            </w:tcBorders>
            <w:shd w:val="clear" w:color="000000" w:fill="FFFFFF"/>
            <w:noWrap/>
            <w:hideMark/>
          </w:tcPr>
          <w:p w14:paraId="003A0F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8,6</w:t>
            </w:r>
          </w:p>
        </w:tc>
        <w:tc>
          <w:tcPr>
            <w:tcW w:w="872" w:type="dxa"/>
            <w:tcBorders>
              <w:top w:val="nil"/>
              <w:left w:val="nil"/>
              <w:bottom w:val="nil"/>
              <w:right w:val="nil"/>
            </w:tcBorders>
            <w:shd w:val="clear" w:color="000000" w:fill="FFFFFF"/>
            <w:noWrap/>
            <w:hideMark/>
          </w:tcPr>
          <w:p w14:paraId="4E7A1FB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(115/1331)</w:t>
            </w:r>
          </w:p>
        </w:tc>
        <w:tc>
          <w:tcPr>
            <w:tcW w:w="1293" w:type="dxa"/>
            <w:tcBorders>
              <w:top w:val="nil"/>
              <w:left w:val="nil"/>
              <w:bottom w:val="nil"/>
              <w:right w:val="nil"/>
            </w:tcBorders>
            <w:shd w:val="clear" w:color="000000" w:fill="FFFFFF"/>
            <w:noWrap/>
            <w:hideMark/>
          </w:tcPr>
          <w:p w14:paraId="3E20BFA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0966172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2C94168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55BB5473" w14:textId="77777777" w:rsidTr="00CF1C1E">
        <w:trPr>
          <w:trHeight w:val="20"/>
        </w:trPr>
        <w:tc>
          <w:tcPr>
            <w:tcW w:w="1196" w:type="dxa"/>
            <w:tcBorders>
              <w:top w:val="nil"/>
              <w:left w:val="nil"/>
              <w:bottom w:val="nil"/>
              <w:right w:val="nil"/>
            </w:tcBorders>
            <w:shd w:val="clear" w:color="000000" w:fill="FFFFFF"/>
            <w:hideMark/>
          </w:tcPr>
          <w:p w14:paraId="432C29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0525B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42833F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4016B44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420F10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5705C40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133EE63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F11938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1054B46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1C9A771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6CD872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46A3A52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F03303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085D9B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&gt;6 m-1 a</w:t>
            </w:r>
          </w:p>
        </w:tc>
        <w:tc>
          <w:tcPr>
            <w:tcW w:w="360" w:type="dxa"/>
            <w:tcBorders>
              <w:top w:val="nil"/>
              <w:left w:val="nil"/>
              <w:bottom w:val="nil"/>
              <w:right w:val="nil"/>
            </w:tcBorders>
            <w:shd w:val="clear" w:color="000000" w:fill="FFFFFF"/>
            <w:noWrap/>
            <w:hideMark/>
          </w:tcPr>
          <w:p w14:paraId="0A2452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12,1</w:t>
            </w:r>
          </w:p>
        </w:tc>
        <w:tc>
          <w:tcPr>
            <w:tcW w:w="872" w:type="dxa"/>
            <w:tcBorders>
              <w:top w:val="nil"/>
              <w:left w:val="nil"/>
              <w:bottom w:val="nil"/>
              <w:right w:val="nil"/>
            </w:tcBorders>
            <w:shd w:val="clear" w:color="000000" w:fill="FFFFFF"/>
            <w:noWrap/>
            <w:hideMark/>
          </w:tcPr>
          <w:p w14:paraId="2E8F040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(161/1331)</w:t>
            </w:r>
          </w:p>
        </w:tc>
        <w:tc>
          <w:tcPr>
            <w:tcW w:w="1293" w:type="dxa"/>
            <w:tcBorders>
              <w:top w:val="nil"/>
              <w:left w:val="nil"/>
              <w:bottom w:val="nil"/>
              <w:right w:val="nil"/>
            </w:tcBorders>
            <w:shd w:val="clear" w:color="000000" w:fill="FFFFFF"/>
            <w:noWrap/>
            <w:hideMark/>
          </w:tcPr>
          <w:p w14:paraId="3F9958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78D2F13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4F7BA6D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5B15158C" w14:textId="77777777" w:rsidTr="00CF1C1E">
        <w:trPr>
          <w:trHeight w:val="20"/>
        </w:trPr>
        <w:tc>
          <w:tcPr>
            <w:tcW w:w="1196" w:type="dxa"/>
            <w:tcBorders>
              <w:top w:val="nil"/>
              <w:left w:val="nil"/>
              <w:bottom w:val="nil"/>
              <w:right w:val="nil"/>
            </w:tcBorders>
            <w:shd w:val="clear" w:color="000000" w:fill="FFFFFF"/>
            <w:hideMark/>
          </w:tcPr>
          <w:p w14:paraId="0EA3A64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372EDE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1C0FB7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1FD9D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hideMark/>
          </w:tcPr>
          <w:p w14:paraId="19A1780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62875F7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7E6642C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341CB15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4BCD64B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hideMark/>
          </w:tcPr>
          <w:p w14:paraId="219D030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1F8A72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1D5A200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258AC5D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57D3BB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&gt;1-2 a</w:t>
            </w:r>
          </w:p>
        </w:tc>
        <w:tc>
          <w:tcPr>
            <w:tcW w:w="360" w:type="dxa"/>
            <w:tcBorders>
              <w:top w:val="nil"/>
              <w:left w:val="nil"/>
              <w:bottom w:val="nil"/>
              <w:right w:val="nil"/>
            </w:tcBorders>
            <w:shd w:val="clear" w:color="000000" w:fill="FFFFFF"/>
            <w:noWrap/>
            <w:hideMark/>
          </w:tcPr>
          <w:p w14:paraId="70D25E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15,9</w:t>
            </w:r>
          </w:p>
        </w:tc>
        <w:tc>
          <w:tcPr>
            <w:tcW w:w="872" w:type="dxa"/>
            <w:tcBorders>
              <w:top w:val="nil"/>
              <w:left w:val="nil"/>
              <w:bottom w:val="nil"/>
              <w:right w:val="nil"/>
            </w:tcBorders>
            <w:shd w:val="clear" w:color="000000" w:fill="FFFFFF"/>
            <w:noWrap/>
            <w:hideMark/>
          </w:tcPr>
          <w:p w14:paraId="518C426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(211/1331)</w:t>
            </w:r>
          </w:p>
        </w:tc>
        <w:tc>
          <w:tcPr>
            <w:tcW w:w="1293" w:type="dxa"/>
            <w:tcBorders>
              <w:top w:val="nil"/>
              <w:left w:val="nil"/>
              <w:bottom w:val="nil"/>
              <w:right w:val="nil"/>
            </w:tcBorders>
            <w:shd w:val="clear" w:color="000000" w:fill="FFFFFF"/>
            <w:noWrap/>
            <w:hideMark/>
          </w:tcPr>
          <w:p w14:paraId="0CDC58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7C3D67E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5AC88EA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0F2E65F9" w14:textId="77777777" w:rsidTr="00CF1C1E">
        <w:trPr>
          <w:trHeight w:val="20"/>
        </w:trPr>
        <w:tc>
          <w:tcPr>
            <w:tcW w:w="1196" w:type="dxa"/>
            <w:tcBorders>
              <w:top w:val="nil"/>
              <w:left w:val="nil"/>
              <w:bottom w:val="nil"/>
              <w:right w:val="nil"/>
            </w:tcBorders>
            <w:shd w:val="clear" w:color="000000" w:fill="FFFFFF"/>
            <w:hideMark/>
          </w:tcPr>
          <w:p w14:paraId="52E892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3F3F54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7B96B5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5FC7BD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8" w:space="0" w:color="000000"/>
              <w:right w:val="nil"/>
            </w:tcBorders>
            <w:shd w:val="clear" w:color="000000" w:fill="FFFFFF"/>
            <w:hideMark/>
          </w:tcPr>
          <w:p w14:paraId="0CB7F2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07DED2F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0A4F5B7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2174BDF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16A9AA5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8" w:space="0" w:color="000000"/>
              <w:right w:val="nil"/>
            </w:tcBorders>
            <w:shd w:val="clear" w:color="000000" w:fill="FFFFFF"/>
            <w:hideMark/>
          </w:tcPr>
          <w:p w14:paraId="05F8A91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2F7CB1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nil"/>
              <w:right w:val="nil"/>
            </w:tcBorders>
            <w:shd w:val="clear" w:color="000000" w:fill="FFFFFF"/>
            <w:noWrap/>
            <w:hideMark/>
          </w:tcPr>
          <w:p w14:paraId="5DBBE20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noWrap/>
            <w:hideMark/>
          </w:tcPr>
          <w:p w14:paraId="0BDAE0C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55" w:type="dxa"/>
            <w:tcBorders>
              <w:top w:val="nil"/>
              <w:left w:val="nil"/>
              <w:bottom w:val="nil"/>
              <w:right w:val="nil"/>
            </w:tcBorders>
            <w:shd w:val="clear" w:color="000000" w:fill="FFFFFF"/>
            <w:noWrap/>
            <w:hideMark/>
          </w:tcPr>
          <w:p w14:paraId="66ED77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&gt;2 a</w:t>
            </w:r>
          </w:p>
        </w:tc>
        <w:tc>
          <w:tcPr>
            <w:tcW w:w="360" w:type="dxa"/>
            <w:tcBorders>
              <w:top w:val="nil"/>
              <w:left w:val="nil"/>
              <w:bottom w:val="nil"/>
              <w:right w:val="nil"/>
            </w:tcBorders>
            <w:shd w:val="clear" w:color="000000" w:fill="FFFFFF"/>
            <w:noWrap/>
            <w:hideMark/>
          </w:tcPr>
          <w:p w14:paraId="3F1BA5F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56,7</w:t>
            </w:r>
          </w:p>
        </w:tc>
        <w:tc>
          <w:tcPr>
            <w:tcW w:w="872" w:type="dxa"/>
            <w:tcBorders>
              <w:top w:val="nil"/>
              <w:left w:val="nil"/>
              <w:bottom w:val="nil"/>
              <w:right w:val="nil"/>
            </w:tcBorders>
            <w:shd w:val="clear" w:color="000000" w:fill="FFFFFF"/>
            <w:noWrap/>
            <w:hideMark/>
          </w:tcPr>
          <w:p w14:paraId="22BA97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(755/1331)</w:t>
            </w:r>
          </w:p>
        </w:tc>
        <w:tc>
          <w:tcPr>
            <w:tcW w:w="1293" w:type="dxa"/>
            <w:tcBorders>
              <w:top w:val="nil"/>
              <w:left w:val="nil"/>
              <w:bottom w:val="nil"/>
              <w:right w:val="nil"/>
            </w:tcBorders>
            <w:shd w:val="clear" w:color="000000" w:fill="FFFFFF"/>
            <w:noWrap/>
            <w:hideMark/>
          </w:tcPr>
          <w:p w14:paraId="6B6406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776CFD3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2B3AF0A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28BC1C3" w14:textId="77777777" w:rsidTr="00CF1C1E">
        <w:trPr>
          <w:trHeight w:val="20"/>
        </w:trPr>
        <w:tc>
          <w:tcPr>
            <w:tcW w:w="1196" w:type="dxa"/>
            <w:tcBorders>
              <w:top w:val="single" w:sz="8" w:space="0" w:color="auto"/>
              <w:left w:val="nil"/>
              <w:bottom w:val="nil"/>
              <w:right w:val="nil"/>
            </w:tcBorders>
            <w:shd w:val="clear" w:color="000000" w:fill="FFFFFF"/>
            <w:hideMark/>
          </w:tcPr>
          <w:p w14:paraId="020AC3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López 2016</w:t>
            </w:r>
          </w:p>
        </w:tc>
        <w:tc>
          <w:tcPr>
            <w:tcW w:w="676" w:type="dxa"/>
            <w:tcBorders>
              <w:top w:val="single" w:sz="8" w:space="0" w:color="auto"/>
              <w:left w:val="nil"/>
              <w:bottom w:val="nil"/>
              <w:right w:val="nil"/>
            </w:tcBorders>
            <w:shd w:val="clear" w:color="000000" w:fill="FFFFFF"/>
            <w:noWrap/>
            <w:hideMark/>
          </w:tcPr>
          <w:p w14:paraId="71F10DC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España</w:t>
            </w:r>
          </w:p>
        </w:tc>
        <w:tc>
          <w:tcPr>
            <w:tcW w:w="628" w:type="dxa"/>
            <w:tcBorders>
              <w:top w:val="single" w:sz="8" w:space="0" w:color="auto"/>
              <w:left w:val="nil"/>
              <w:bottom w:val="nil"/>
              <w:right w:val="nil"/>
            </w:tcBorders>
            <w:shd w:val="clear" w:color="000000" w:fill="FFFFFF"/>
            <w:noWrap/>
            <w:hideMark/>
          </w:tcPr>
          <w:p w14:paraId="47AB10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single" w:sz="8" w:space="0" w:color="auto"/>
              <w:left w:val="nil"/>
              <w:bottom w:val="nil"/>
              <w:right w:val="nil"/>
            </w:tcBorders>
            <w:shd w:val="clear" w:color="000000" w:fill="FFFFFF"/>
            <w:noWrap/>
            <w:hideMark/>
          </w:tcPr>
          <w:p w14:paraId="08AA6A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0CB4367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8" w:space="0" w:color="auto"/>
              <w:left w:val="nil"/>
              <w:bottom w:val="nil"/>
              <w:right w:val="nil"/>
            </w:tcBorders>
            <w:shd w:val="clear" w:color="000000" w:fill="FFFFFF"/>
            <w:noWrap/>
            <w:hideMark/>
          </w:tcPr>
          <w:p w14:paraId="789A4BB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53</w:t>
            </w:r>
          </w:p>
        </w:tc>
        <w:tc>
          <w:tcPr>
            <w:tcW w:w="360" w:type="dxa"/>
            <w:tcBorders>
              <w:top w:val="single" w:sz="8" w:space="0" w:color="auto"/>
              <w:left w:val="nil"/>
              <w:bottom w:val="nil"/>
              <w:right w:val="nil"/>
            </w:tcBorders>
            <w:shd w:val="clear" w:color="000000" w:fill="FFFFFF"/>
            <w:noWrap/>
            <w:hideMark/>
          </w:tcPr>
          <w:p w14:paraId="5257BF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62,7</w:t>
            </w:r>
          </w:p>
        </w:tc>
        <w:tc>
          <w:tcPr>
            <w:tcW w:w="543" w:type="dxa"/>
            <w:tcBorders>
              <w:top w:val="single" w:sz="8" w:space="0" w:color="auto"/>
              <w:left w:val="nil"/>
              <w:bottom w:val="single" w:sz="8" w:space="0" w:color="auto"/>
              <w:right w:val="nil"/>
            </w:tcBorders>
            <w:shd w:val="clear" w:color="000000" w:fill="FFFFFF"/>
            <w:hideMark/>
          </w:tcPr>
          <w:p w14:paraId="0B5BE7F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[57,0]</w:t>
            </w:r>
          </w:p>
        </w:tc>
        <w:tc>
          <w:tcPr>
            <w:tcW w:w="538" w:type="dxa"/>
            <w:tcBorders>
              <w:top w:val="single" w:sz="8" w:space="0" w:color="auto"/>
              <w:left w:val="nil"/>
              <w:bottom w:val="nil"/>
              <w:right w:val="nil"/>
            </w:tcBorders>
            <w:shd w:val="clear" w:color="000000" w:fill="FFFFFF"/>
            <w:noWrap/>
            <w:hideMark/>
          </w:tcPr>
          <w:p w14:paraId="5FDF29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66,0</w:t>
            </w:r>
          </w:p>
        </w:tc>
        <w:tc>
          <w:tcPr>
            <w:tcW w:w="1325" w:type="dxa"/>
            <w:tcBorders>
              <w:top w:val="nil"/>
              <w:left w:val="nil"/>
              <w:bottom w:val="nil"/>
              <w:right w:val="nil"/>
            </w:tcBorders>
            <w:shd w:val="clear" w:color="000000" w:fill="FFFFFF"/>
            <w:noWrap/>
            <w:hideMark/>
          </w:tcPr>
          <w:p w14:paraId="0F4053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Cáncer</w:t>
            </w:r>
          </w:p>
        </w:tc>
        <w:tc>
          <w:tcPr>
            <w:tcW w:w="871" w:type="dxa"/>
            <w:tcBorders>
              <w:top w:val="single" w:sz="8" w:space="0" w:color="auto"/>
              <w:left w:val="nil"/>
              <w:bottom w:val="nil"/>
              <w:right w:val="nil"/>
            </w:tcBorders>
            <w:shd w:val="clear" w:color="000000" w:fill="FFFFFF"/>
            <w:noWrap/>
            <w:hideMark/>
          </w:tcPr>
          <w:p w14:paraId="31D9D25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nil"/>
              <w:right w:val="nil"/>
            </w:tcBorders>
            <w:shd w:val="clear" w:color="000000" w:fill="FFFFFF"/>
            <w:noWrap/>
            <w:hideMark/>
          </w:tcPr>
          <w:p w14:paraId="0C67AC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9,4</w:t>
            </w:r>
          </w:p>
        </w:tc>
        <w:tc>
          <w:tcPr>
            <w:tcW w:w="872" w:type="dxa"/>
            <w:tcBorders>
              <w:top w:val="single" w:sz="8" w:space="0" w:color="auto"/>
              <w:left w:val="nil"/>
              <w:bottom w:val="nil"/>
              <w:right w:val="nil"/>
            </w:tcBorders>
            <w:shd w:val="clear" w:color="000000" w:fill="FFFFFF"/>
            <w:noWrap/>
            <w:hideMark/>
          </w:tcPr>
          <w:p w14:paraId="0046E5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(5/53)</w:t>
            </w:r>
          </w:p>
        </w:tc>
        <w:tc>
          <w:tcPr>
            <w:tcW w:w="855" w:type="dxa"/>
            <w:tcBorders>
              <w:top w:val="single" w:sz="8" w:space="0" w:color="auto"/>
              <w:left w:val="nil"/>
              <w:bottom w:val="nil"/>
              <w:right w:val="nil"/>
            </w:tcBorders>
            <w:shd w:val="clear" w:color="000000" w:fill="FFFFFF"/>
            <w:noWrap/>
            <w:hideMark/>
          </w:tcPr>
          <w:p w14:paraId="3AD6446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8" w:space="0" w:color="auto"/>
              <w:left w:val="nil"/>
              <w:bottom w:val="nil"/>
              <w:right w:val="nil"/>
            </w:tcBorders>
            <w:shd w:val="clear" w:color="000000" w:fill="FFFFFF"/>
            <w:noWrap/>
            <w:hideMark/>
          </w:tcPr>
          <w:p w14:paraId="490A45E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8" w:space="0" w:color="auto"/>
              <w:left w:val="nil"/>
              <w:bottom w:val="nil"/>
              <w:right w:val="nil"/>
            </w:tcBorders>
            <w:shd w:val="clear" w:color="000000" w:fill="FFFFFF"/>
            <w:noWrap/>
            <w:hideMark/>
          </w:tcPr>
          <w:p w14:paraId="2A28C97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single" w:sz="8" w:space="0" w:color="auto"/>
              <w:left w:val="nil"/>
              <w:bottom w:val="nil"/>
              <w:right w:val="nil"/>
            </w:tcBorders>
            <w:shd w:val="clear" w:color="000000" w:fill="FFFFFF"/>
            <w:noWrap/>
            <w:hideMark/>
          </w:tcPr>
          <w:p w14:paraId="79C6DC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8" w:space="0" w:color="auto"/>
              <w:left w:val="nil"/>
              <w:bottom w:val="nil"/>
              <w:right w:val="nil"/>
            </w:tcBorders>
            <w:shd w:val="clear" w:color="000000" w:fill="FFFFFF"/>
            <w:noWrap/>
            <w:hideMark/>
          </w:tcPr>
          <w:p w14:paraId="5D0288B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454426A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19E42494" w14:textId="77777777" w:rsidTr="00CF1C1E">
        <w:trPr>
          <w:trHeight w:val="20"/>
        </w:trPr>
        <w:tc>
          <w:tcPr>
            <w:tcW w:w="1196" w:type="dxa"/>
            <w:tcBorders>
              <w:top w:val="single" w:sz="8" w:space="0" w:color="auto"/>
              <w:left w:val="nil"/>
              <w:bottom w:val="nil"/>
              <w:right w:val="nil"/>
            </w:tcBorders>
            <w:shd w:val="clear" w:color="000000" w:fill="FFFFFF"/>
            <w:hideMark/>
          </w:tcPr>
          <w:p w14:paraId="269541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Brunetti 2016</w:t>
            </w:r>
          </w:p>
        </w:tc>
        <w:tc>
          <w:tcPr>
            <w:tcW w:w="676" w:type="dxa"/>
            <w:tcBorders>
              <w:top w:val="single" w:sz="8" w:space="0" w:color="auto"/>
              <w:left w:val="nil"/>
              <w:bottom w:val="nil"/>
              <w:right w:val="nil"/>
            </w:tcBorders>
            <w:shd w:val="clear" w:color="000000" w:fill="FFFFFF"/>
            <w:noWrap/>
            <w:hideMark/>
          </w:tcPr>
          <w:p w14:paraId="4704D8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Italia</w:t>
            </w:r>
          </w:p>
        </w:tc>
        <w:tc>
          <w:tcPr>
            <w:tcW w:w="628" w:type="dxa"/>
            <w:tcBorders>
              <w:top w:val="single" w:sz="8" w:space="0" w:color="auto"/>
              <w:left w:val="nil"/>
              <w:bottom w:val="nil"/>
              <w:right w:val="nil"/>
            </w:tcBorders>
            <w:shd w:val="clear" w:color="000000" w:fill="FFFFFF"/>
            <w:noWrap/>
            <w:hideMark/>
          </w:tcPr>
          <w:p w14:paraId="1FFFB8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O/R/C</w:t>
            </w:r>
          </w:p>
        </w:tc>
        <w:tc>
          <w:tcPr>
            <w:tcW w:w="703" w:type="dxa"/>
            <w:tcBorders>
              <w:top w:val="single" w:sz="8" w:space="0" w:color="auto"/>
              <w:left w:val="nil"/>
              <w:bottom w:val="nil"/>
              <w:right w:val="nil"/>
            </w:tcBorders>
            <w:shd w:val="clear" w:color="000000" w:fill="FFFFFF"/>
            <w:noWrap/>
            <w:hideMark/>
          </w:tcPr>
          <w:p w14:paraId="304C4A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nil"/>
              <w:right w:val="nil"/>
            </w:tcBorders>
            <w:shd w:val="clear" w:color="000000" w:fill="FFFFFF"/>
            <w:noWrap/>
            <w:hideMark/>
          </w:tcPr>
          <w:p w14:paraId="79D926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8" w:space="0" w:color="auto"/>
              <w:left w:val="nil"/>
              <w:bottom w:val="nil"/>
              <w:right w:val="nil"/>
            </w:tcBorders>
            <w:shd w:val="clear" w:color="000000" w:fill="FFFFFF"/>
            <w:noWrap/>
            <w:hideMark/>
          </w:tcPr>
          <w:p w14:paraId="1A9F9A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w:t>
            </w:r>
          </w:p>
        </w:tc>
        <w:tc>
          <w:tcPr>
            <w:tcW w:w="360" w:type="dxa"/>
            <w:tcBorders>
              <w:top w:val="single" w:sz="8" w:space="0" w:color="auto"/>
              <w:left w:val="nil"/>
              <w:bottom w:val="nil"/>
              <w:right w:val="nil"/>
            </w:tcBorders>
            <w:shd w:val="clear" w:color="000000" w:fill="FFFFFF"/>
            <w:noWrap/>
            <w:hideMark/>
          </w:tcPr>
          <w:p w14:paraId="77FC35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71,3</w:t>
            </w:r>
          </w:p>
        </w:tc>
        <w:tc>
          <w:tcPr>
            <w:tcW w:w="543" w:type="dxa"/>
            <w:tcBorders>
              <w:top w:val="nil"/>
              <w:left w:val="nil"/>
              <w:bottom w:val="nil"/>
              <w:right w:val="nil"/>
            </w:tcBorders>
            <w:shd w:val="clear" w:color="000000" w:fill="FFFFFF"/>
            <w:hideMark/>
          </w:tcPr>
          <w:p w14:paraId="219BA5F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(9,2)</w:t>
            </w:r>
          </w:p>
        </w:tc>
        <w:tc>
          <w:tcPr>
            <w:tcW w:w="538" w:type="dxa"/>
            <w:tcBorders>
              <w:top w:val="single" w:sz="8" w:space="0" w:color="auto"/>
              <w:left w:val="nil"/>
              <w:bottom w:val="nil"/>
              <w:right w:val="nil"/>
            </w:tcBorders>
            <w:shd w:val="clear" w:color="000000" w:fill="FFFFFF"/>
            <w:noWrap/>
            <w:hideMark/>
          </w:tcPr>
          <w:p w14:paraId="6B3AD4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50,0</w:t>
            </w:r>
          </w:p>
        </w:tc>
        <w:tc>
          <w:tcPr>
            <w:tcW w:w="1325" w:type="dxa"/>
            <w:tcBorders>
              <w:top w:val="single" w:sz="8" w:space="0" w:color="auto"/>
              <w:left w:val="nil"/>
              <w:bottom w:val="nil"/>
              <w:right w:val="nil"/>
            </w:tcBorders>
            <w:shd w:val="clear" w:color="000000" w:fill="FFFFFF"/>
            <w:noWrap/>
            <w:hideMark/>
          </w:tcPr>
          <w:p w14:paraId="4AEDFE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Cáncer</w:t>
            </w:r>
          </w:p>
        </w:tc>
        <w:tc>
          <w:tcPr>
            <w:tcW w:w="871" w:type="dxa"/>
            <w:tcBorders>
              <w:top w:val="single" w:sz="8" w:space="0" w:color="auto"/>
              <w:left w:val="nil"/>
              <w:bottom w:val="nil"/>
              <w:right w:val="nil"/>
            </w:tcBorders>
            <w:shd w:val="clear" w:color="000000" w:fill="FFFFFF"/>
            <w:noWrap/>
            <w:hideMark/>
          </w:tcPr>
          <w:p w14:paraId="2757F7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nil"/>
              <w:right w:val="nil"/>
            </w:tcBorders>
            <w:shd w:val="clear" w:color="000000" w:fill="FFFFFF"/>
            <w:noWrap/>
            <w:hideMark/>
          </w:tcPr>
          <w:p w14:paraId="74B8E3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31,0</w:t>
            </w:r>
          </w:p>
        </w:tc>
        <w:tc>
          <w:tcPr>
            <w:tcW w:w="872" w:type="dxa"/>
            <w:tcBorders>
              <w:top w:val="single" w:sz="8" w:space="0" w:color="auto"/>
              <w:left w:val="nil"/>
              <w:bottom w:val="nil"/>
              <w:right w:val="nil"/>
            </w:tcBorders>
            <w:shd w:val="clear" w:color="000000" w:fill="FFFFFF"/>
            <w:noWrap/>
            <w:hideMark/>
          </w:tcPr>
          <w:p w14:paraId="740075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(11/36)</w:t>
            </w:r>
          </w:p>
        </w:tc>
        <w:tc>
          <w:tcPr>
            <w:tcW w:w="855" w:type="dxa"/>
            <w:tcBorders>
              <w:top w:val="single" w:sz="8" w:space="0" w:color="auto"/>
              <w:left w:val="nil"/>
              <w:bottom w:val="nil"/>
              <w:right w:val="nil"/>
            </w:tcBorders>
            <w:shd w:val="clear" w:color="000000" w:fill="FFFFFF"/>
            <w:noWrap/>
            <w:hideMark/>
          </w:tcPr>
          <w:p w14:paraId="50B0E7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&lt;3 m</w:t>
            </w:r>
          </w:p>
        </w:tc>
        <w:tc>
          <w:tcPr>
            <w:tcW w:w="360" w:type="dxa"/>
            <w:tcBorders>
              <w:top w:val="single" w:sz="8" w:space="0" w:color="auto"/>
              <w:left w:val="nil"/>
              <w:bottom w:val="nil"/>
              <w:right w:val="nil"/>
            </w:tcBorders>
            <w:shd w:val="clear" w:color="000000" w:fill="FFFFFF"/>
            <w:noWrap/>
            <w:hideMark/>
          </w:tcPr>
          <w:p w14:paraId="2DAF6EE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69,0</w:t>
            </w:r>
          </w:p>
        </w:tc>
        <w:tc>
          <w:tcPr>
            <w:tcW w:w="872" w:type="dxa"/>
            <w:tcBorders>
              <w:top w:val="single" w:sz="8" w:space="0" w:color="auto"/>
              <w:left w:val="nil"/>
              <w:bottom w:val="nil"/>
              <w:right w:val="nil"/>
            </w:tcBorders>
            <w:shd w:val="clear" w:color="000000" w:fill="FFFFFF"/>
            <w:noWrap/>
            <w:hideMark/>
          </w:tcPr>
          <w:p w14:paraId="3E3F53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(25/36)</w:t>
            </w:r>
          </w:p>
        </w:tc>
        <w:tc>
          <w:tcPr>
            <w:tcW w:w="1293" w:type="dxa"/>
            <w:tcBorders>
              <w:top w:val="single" w:sz="8" w:space="0" w:color="auto"/>
              <w:left w:val="nil"/>
              <w:bottom w:val="nil"/>
              <w:right w:val="nil"/>
            </w:tcBorders>
            <w:shd w:val="clear" w:color="000000" w:fill="FFFFFF"/>
            <w:noWrap/>
            <w:hideMark/>
          </w:tcPr>
          <w:p w14:paraId="1E6451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8" w:space="0" w:color="auto"/>
              <w:left w:val="nil"/>
              <w:bottom w:val="nil"/>
              <w:right w:val="nil"/>
            </w:tcBorders>
            <w:shd w:val="clear" w:color="000000" w:fill="FFFFFF"/>
            <w:noWrap/>
            <w:hideMark/>
          </w:tcPr>
          <w:p w14:paraId="098F178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5185ED0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0722E1DD" w14:textId="77777777" w:rsidTr="00CF1C1E">
        <w:trPr>
          <w:trHeight w:val="20"/>
        </w:trPr>
        <w:tc>
          <w:tcPr>
            <w:tcW w:w="1196" w:type="dxa"/>
            <w:tcBorders>
              <w:top w:val="nil"/>
              <w:left w:val="nil"/>
              <w:bottom w:val="nil"/>
              <w:right w:val="nil"/>
            </w:tcBorders>
            <w:shd w:val="clear" w:color="000000" w:fill="FFFFFF"/>
            <w:hideMark/>
          </w:tcPr>
          <w:p w14:paraId="605C0A3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4600F8F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2E5CB1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35232E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21BF07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3894B53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3BF8868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484E8FF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08F5A7D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5333891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7B1E14FC" w14:textId="75284BA9" w:rsidR="002E4D99" w:rsidRPr="00367BEC" w:rsidRDefault="00761D0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Nociceptivo</w:t>
            </w:r>
          </w:p>
        </w:tc>
        <w:tc>
          <w:tcPr>
            <w:tcW w:w="360" w:type="dxa"/>
            <w:tcBorders>
              <w:top w:val="nil"/>
              <w:left w:val="nil"/>
              <w:bottom w:val="nil"/>
              <w:right w:val="nil"/>
            </w:tcBorders>
            <w:shd w:val="clear" w:color="000000" w:fill="FFFFFF"/>
            <w:noWrap/>
            <w:hideMark/>
          </w:tcPr>
          <w:p w14:paraId="4C17F0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42,0</w:t>
            </w:r>
          </w:p>
        </w:tc>
        <w:tc>
          <w:tcPr>
            <w:tcW w:w="872" w:type="dxa"/>
            <w:tcBorders>
              <w:top w:val="nil"/>
              <w:left w:val="nil"/>
              <w:bottom w:val="nil"/>
              <w:right w:val="nil"/>
            </w:tcBorders>
            <w:shd w:val="clear" w:color="000000" w:fill="FFFFFF"/>
            <w:noWrap/>
            <w:hideMark/>
          </w:tcPr>
          <w:p w14:paraId="4D64AB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(15/36)</w:t>
            </w:r>
          </w:p>
        </w:tc>
        <w:tc>
          <w:tcPr>
            <w:tcW w:w="855" w:type="dxa"/>
            <w:tcBorders>
              <w:top w:val="nil"/>
              <w:left w:val="nil"/>
              <w:bottom w:val="nil"/>
              <w:right w:val="nil"/>
            </w:tcBorders>
            <w:shd w:val="clear" w:color="000000" w:fill="FFFFFF"/>
            <w:noWrap/>
            <w:hideMark/>
          </w:tcPr>
          <w:p w14:paraId="2A0717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 m</w:t>
            </w:r>
          </w:p>
        </w:tc>
        <w:tc>
          <w:tcPr>
            <w:tcW w:w="360" w:type="dxa"/>
            <w:tcBorders>
              <w:top w:val="nil"/>
              <w:left w:val="nil"/>
              <w:bottom w:val="nil"/>
              <w:right w:val="nil"/>
            </w:tcBorders>
            <w:shd w:val="clear" w:color="000000" w:fill="FFFFFF"/>
            <w:noWrap/>
            <w:hideMark/>
          </w:tcPr>
          <w:p w14:paraId="6D0CB2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w:t>
            </w:r>
          </w:p>
        </w:tc>
        <w:tc>
          <w:tcPr>
            <w:tcW w:w="872" w:type="dxa"/>
            <w:tcBorders>
              <w:top w:val="nil"/>
              <w:left w:val="nil"/>
              <w:bottom w:val="nil"/>
              <w:right w:val="nil"/>
            </w:tcBorders>
            <w:shd w:val="clear" w:color="000000" w:fill="FFFFFF"/>
            <w:noWrap/>
            <w:hideMark/>
          </w:tcPr>
          <w:p w14:paraId="1B27E1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(1/36)</w:t>
            </w:r>
          </w:p>
        </w:tc>
        <w:tc>
          <w:tcPr>
            <w:tcW w:w="1293" w:type="dxa"/>
            <w:tcBorders>
              <w:top w:val="nil"/>
              <w:left w:val="nil"/>
              <w:bottom w:val="nil"/>
              <w:right w:val="nil"/>
            </w:tcBorders>
            <w:shd w:val="clear" w:color="000000" w:fill="FFFFFF"/>
            <w:noWrap/>
            <w:hideMark/>
          </w:tcPr>
          <w:p w14:paraId="63F7CE3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34AF595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4603496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A9F3654" w14:textId="77777777" w:rsidTr="00CF1C1E">
        <w:trPr>
          <w:trHeight w:val="20"/>
        </w:trPr>
        <w:tc>
          <w:tcPr>
            <w:tcW w:w="1196" w:type="dxa"/>
            <w:tcBorders>
              <w:top w:val="nil"/>
              <w:left w:val="nil"/>
              <w:bottom w:val="nil"/>
              <w:right w:val="nil"/>
            </w:tcBorders>
            <w:shd w:val="clear" w:color="000000" w:fill="FFFFFF"/>
            <w:hideMark/>
          </w:tcPr>
          <w:p w14:paraId="603F83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single" w:sz="8" w:space="0" w:color="auto"/>
              <w:right w:val="nil"/>
            </w:tcBorders>
            <w:shd w:val="clear" w:color="000000" w:fill="FFFFFF"/>
            <w:noWrap/>
            <w:hideMark/>
          </w:tcPr>
          <w:p w14:paraId="7FAB33A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single" w:sz="8" w:space="0" w:color="auto"/>
              <w:right w:val="nil"/>
            </w:tcBorders>
            <w:shd w:val="clear" w:color="000000" w:fill="FFFFFF"/>
            <w:noWrap/>
            <w:hideMark/>
          </w:tcPr>
          <w:p w14:paraId="65E963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single" w:sz="8" w:space="0" w:color="auto"/>
              <w:right w:val="nil"/>
            </w:tcBorders>
            <w:shd w:val="clear" w:color="000000" w:fill="FFFFFF"/>
            <w:noWrap/>
            <w:hideMark/>
          </w:tcPr>
          <w:p w14:paraId="458DFF7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8" w:space="0" w:color="auto"/>
              <w:right w:val="nil"/>
            </w:tcBorders>
            <w:shd w:val="clear" w:color="000000" w:fill="FFFFFF"/>
            <w:noWrap/>
            <w:hideMark/>
          </w:tcPr>
          <w:p w14:paraId="738EAE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8" w:space="0" w:color="auto"/>
              <w:right w:val="nil"/>
            </w:tcBorders>
            <w:shd w:val="clear" w:color="000000" w:fill="FFFFFF"/>
            <w:noWrap/>
            <w:hideMark/>
          </w:tcPr>
          <w:p w14:paraId="43BC0F4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8" w:space="0" w:color="auto"/>
              <w:right w:val="nil"/>
            </w:tcBorders>
            <w:shd w:val="clear" w:color="000000" w:fill="FFFFFF"/>
            <w:noWrap/>
            <w:hideMark/>
          </w:tcPr>
          <w:p w14:paraId="20A2A2B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8" w:space="0" w:color="auto"/>
              <w:right w:val="nil"/>
            </w:tcBorders>
            <w:shd w:val="clear" w:color="000000" w:fill="FFFFFF"/>
            <w:hideMark/>
          </w:tcPr>
          <w:p w14:paraId="1A48CF0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8" w:space="0" w:color="auto"/>
              <w:right w:val="nil"/>
            </w:tcBorders>
            <w:shd w:val="clear" w:color="000000" w:fill="FFFFFF"/>
            <w:noWrap/>
            <w:hideMark/>
          </w:tcPr>
          <w:p w14:paraId="763AE7C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8" w:space="0" w:color="auto"/>
              <w:right w:val="nil"/>
            </w:tcBorders>
            <w:shd w:val="clear" w:color="000000" w:fill="FFFFFF"/>
            <w:noWrap/>
            <w:hideMark/>
          </w:tcPr>
          <w:p w14:paraId="4CDAABE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8" w:space="0" w:color="auto"/>
              <w:right w:val="nil"/>
            </w:tcBorders>
            <w:shd w:val="clear" w:color="000000" w:fill="FFFFFF"/>
            <w:noWrap/>
            <w:hideMark/>
          </w:tcPr>
          <w:p w14:paraId="7C01013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single" w:sz="8" w:space="0" w:color="auto"/>
              <w:right w:val="nil"/>
            </w:tcBorders>
            <w:shd w:val="clear" w:color="000000" w:fill="FFFFFF"/>
            <w:noWrap/>
            <w:hideMark/>
          </w:tcPr>
          <w:p w14:paraId="4D97E44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27,0</w:t>
            </w:r>
          </w:p>
        </w:tc>
        <w:tc>
          <w:tcPr>
            <w:tcW w:w="872" w:type="dxa"/>
            <w:tcBorders>
              <w:top w:val="nil"/>
              <w:left w:val="nil"/>
              <w:bottom w:val="single" w:sz="8" w:space="0" w:color="auto"/>
              <w:right w:val="nil"/>
            </w:tcBorders>
            <w:shd w:val="clear" w:color="000000" w:fill="FFFFFF"/>
            <w:noWrap/>
            <w:hideMark/>
          </w:tcPr>
          <w:p w14:paraId="571D87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(10/36)</w:t>
            </w:r>
          </w:p>
        </w:tc>
        <w:tc>
          <w:tcPr>
            <w:tcW w:w="855" w:type="dxa"/>
            <w:tcBorders>
              <w:top w:val="nil"/>
              <w:left w:val="nil"/>
              <w:bottom w:val="single" w:sz="8" w:space="0" w:color="auto"/>
              <w:right w:val="nil"/>
            </w:tcBorders>
            <w:shd w:val="clear" w:color="000000" w:fill="FFFFFF"/>
            <w:noWrap/>
            <w:hideMark/>
          </w:tcPr>
          <w:p w14:paraId="22E728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&gt;6 m</w:t>
            </w:r>
          </w:p>
        </w:tc>
        <w:tc>
          <w:tcPr>
            <w:tcW w:w="360" w:type="dxa"/>
            <w:tcBorders>
              <w:top w:val="nil"/>
              <w:left w:val="nil"/>
              <w:bottom w:val="single" w:sz="8" w:space="0" w:color="auto"/>
              <w:right w:val="nil"/>
            </w:tcBorders>
            <w:shd w:val="clear" w:color="000000" w:fill="FFFFFF"/>
            <w:noWrap/>
            <w:hideMark/>
          </w:tcPr>
          <w:p w14:paraId="190610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29,0</w:t>
            </w:r>
          </w:p>
        </w:tc>
        <w:tc>
          <w:tcPr>
            <w:tcW w:w="872" w:type="dxa"/>
            <w:tcBorders>
              <w:top w:val="nil"/>
              <w:left w:val="nil"/>
              <w:bottom w:val="single" w:sz="8" w:space="0" w:color="auto"/>
              <w:right w:val="nil"/>
            </w:tcBorders>
            <w:shd w:val="clear" w:color="000000" w:fill="FFFFFF"/>
            <w:noWrap/>
            <w:hideMark/>
          </w:tcPr>
          <w:p w14:paraId="18ADF5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(10/36)</w:t>
            </w:r>
          </w:p>
        </w:tc>
        <w:tc>
          <w:tcPr>
            <w:tcW w:w="1293" w:type="dxa"/>
            <w:tcBorders>
              <w:top w:val="nil"/>
              <w:left w:val="nil"/>
              <w:bottom w:val="single" w:sz="8" w:space="0" w:color="auto"/>
              <w:right w:val="nil"/>
            </w:tcBorders>
            <w:shd w:val="clear" w:color="000000" w:fill="FFFFFF"/>
            <w:noWrap/>
            <w:hideMark/>
          </w:tcPr>
          <w:p w14:paraId="64B9DB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8" w:space="0" w:color="auto"/>
              <w:right w:val="nil"/>
            </w:tcBorders>
            <w:shd w:val="clear" w:color="000000" w:fill="FFFFFF"/>
            <w:noWrap/>
            <w:hideMark/>
          </w:tcPr>
          <w:p w14:paraId="492BAC9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2B8A104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3492ABAB" w14:textId="77777777" w:rsidTr="00CF1C1E">
        <w:trPr>
          <w:trHeight w:val="20"/>
        </w:trPr>
        <w:tc>
          <w:tcPr>
            <w:tcW w:w="1196" w:type="dxa"/>
            <w:tcBorders>
              <w:top w:val="single" w:sz="8" w:space="0" w:color="auto"/>
              <w:left w:val="nil"/>
              <w:bottom w:val="single" w:sz="8" w:space="0" w:color="auto"/>
              <w:right w:val="nil"/>
            </w:tcBorders>
            <w:shd w:val="clear" w:color="000000" w:fill="FFFFFF"/>
            <w:hideMark/>
          </w:tcPr>
          <w:p w14:paraId="78F419B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Coluzzi</w:t>
            </w:r>
            <w:proofErr w:type="spellEnd"/>
            <w:r w:rsidRPr="00367BEC">
              <w:rPr>
                <w:rFonts w:ascii="Times New Roman" w:hAnsi="Times New Roman"/>
                <w:color w:val="000000"/>
                <w:sz w:val="16"/>
              </w:rPr>
              <w:t xml:space="preserve"> 2015</w:t>
            </w:r>
          </w:p>
        </w:tc>
        <w:tc>
          <w:tcPr>
            <w:tcW w:w="676" w:type="dxa"/>
            <w:tcBorders>
              <w:top w:val="nil"/>
              <w:left w:val="nil"/>
              <w:bottom w:val="single" w:sz="8" w:space="0" w:color="auto"/>
              <w:right w:val="nil"/>
            </w:tcBorders>
            <w:shd w:val="clear" w:color="000000" w:fill="FFFFFF"/>
            <w:noWrap/>
            <w:hideMark/>
          </w:tcPr>
          <w:p w14:paraId="478C77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Alemania</w:t>
            </w:r>
          </w:p>
        </w:tc>
        <w:tc>
          <w:tcPr>
            <w:tcW w:w="628" w:type="dxa"/>
            <w:tcBorders>
              <w:top w:val="nil"/>
              <w:left w:val="nil"/>
              <w:bottom w:val="single" w:sz="8" w:space="0" w:color="auto"/>
              <w:right w:val="nil"/>
            </w:tcBorders>
            <w:shd w:val="clear" w:color="000000" w:fill="FFFFFF"/>
            <w:noWrap/>
            <w:hideMark/>
          </w:tcPr>
          <w:p w14:paraId="72C0E0D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nil"/>
              <w:left w:val="nil"/>
              <w:bottom w:val="single" w:sz="8" w:space="0" w:color="auto"/>
              <w:right w:val="nil"/>
            </w:tcBorders>
            <w:shd w:val="clear" w:color="000000" w:fill="FFFFFF"/>
            <w:noWrap/>
            <w:hideMark/>
          </w:tcPr>
          <w:p w14:paraId="6C7EF9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nil"/>
              <w:left w:val="nil"/>
              <w:bottom w:val="single" w:sz="8" w:space="0" w:color="auto"/>
              <w:right w:val="nil"/>
            </w:tcBorders>
            <w:shd w:val="clear" w:color="000000" w:fill="FFFFFF"/>
            <w:noWrap/>
            <w:hideMark/>
          </w:tcPr>
          <w:p w14:paraId="5E47580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nil"/>
              <w:left w:val="nil"/>
              <w:bottom w:val="single" w:sz="8" w:space="0" w:color="auto"/>
              <w:right w:val="nil"/>
            </w:tcBorders>
            <w:shd w:val="clear" w:color="000000" w:fill="FFFFFF"/>
            <w:noWrap/>
            <w:hideMark/>
          </w:tcPr>
          <w:p w14:paraId="72082D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w:t>
            </w:r>
          </w:p>
        </w:tc>
        <w:tc>
          <w:tcPr>
            <w:tcW w:w="360" w:type="dxa"/>
            <w:tcBorders>
              <w:top w:val="nil"/>
              <w:left w:val="nil"/>
              <w:bottom w:val="single" w:sz="8" w:space="0" w:color="auto"/>
              <w:right w:val="nil"/>
            </w:tcBorders>
            <w:shd w:val="clear" w:color="000000" w:fill="FFFFFF"/>
            <w:noWrap/>
            <w:hideMark/>
          </w:tcPr>
          <w:p w14:paraId="3EBCD90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68,6</w:t>
            </w:r>
          </w:p>
        </w:tc>
        <w:tc>
          <w:tcPr>
            <w:tcW w:w="543" w:type="dxa"/>
            <w:tcBorders>
              <w:top w:val="nil"/>
              <w:left w:val="nil"/>
              <w:bottom w:val="single" w:sz="8" w:space="0" w:color="auto"/>
              <w:right w:val="nil"/>
            </w:tcBorders>
            <w:shd w:val="clear" w:color="000000" w:fill="FFFFFF"/>
            <w:hideMark/>
          </w:tcPr>
          <w:p w14:paraId="6DDDAC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(9,8)</w:t>
            </w:r>
          </w:p>
        </w:tc>
        <w:tc>
          <w:tcPr>
            <w:tcW w:w="538" w:type="dxa"/>
            <w:tcBorders>
              <w:top w:val="nil"/>
              <w:left w:val="nil"/>
              <w:bottom w:val="single" w:sz="8" w:space="0" w:color="auto"/>
              <w:right w:val="nil"/>
            </w:tcBorders>
            <w:shd w:val="clear" w:color="000000" w:fill="FFFFFF"/>
            <w:noWrap/>
            <w:hideMark/>
          </w:tcPr>
          <w:p w14:paraId="6C2D43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52,0</w:t>
            </w:r>
          </w:p>
        </w:tc>
        <w:tc>
          <w:tcPr>
            <w:tcW w:w="1325" w:type="dxa"/>
            <w:tcBorders>
              <w:top w:val="nil"/>
              <w:left w:val="nil"/>
              <w:bottom w:val="single" w:sz="8" w:space="0" w:color="auto"/>
              <w:right w:val="nil"/>
            </w:tcBorders>
            <w:shd w:val="clear" w:color="000000" w:fill="FFFFFF"/>
            <w:noWrap/>
            <w:hideMark/>
          </w:tcPr>
          <w:p w14:paraId="1F93525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Cáncer</w:t>
            </w:r>
          </w:p>
        </w:tc>
        <w:tc>
          <w:tcPr>
            <w:tcW w:w="871" w:type="dxa"/>
            <w:tcBorders>
              <w:top w:val="nil"/>
              <w:left w:val="nil"/>
              <w:bottom w:val="single" w:sz="8" w:space="0" w:color="auto"/>
              <w:right w:val="nil"/>
            </w:tcBorders>
            <w:shd w:val="clear" w:color="000000" w:fill="FFFFFF"/>
            <w:noWrap/>
            <w:hideMark/>
          </w:tcPr>
          <w:p w14:paraId="71CA57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nil"/>
              <w:left w:val="nil"/>
              <w:bottom w:val="single" w:sz="8" w:space="0" w:color="auto"/>
              <w:right w:val="nil"/>
            </w:tcBorders>
            <w:shd w:val="clear" w:color="000000" w:fill="FFFFFF"/>
            <w:noWrap/>
            <w:hideMark/>
          </w:tcPr>
          <w:p w14:paraId="7A7D55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72,0</w:t>
            </w:r>
          </w:p>
        </w:tc>
        <w:tc>
          <w:tcPr>
            <w:tcW w:w="872" w:type="dxa"/>
            <w:tcBorders>
              <w:top w:val="nil"/>
              <w:left w:val="nil"/>
              <w:bottom w:val="single" w:sz="8" w:space="0" w:color="auto"/>
              <w:right w:val="nil"/>
            </w:tcBorders>
            <w:shd w:val="clear" w:color="000000" w:fill="FFFFFF"/>
            <w:noWrap/>
            <w:hideMark/>
          </w:tcPr>
          <w:p w14:paraId="353563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(18/25)</w:t>
            </w:r>
          </w:p>
        </w:tc>
        <w:tc>
          <w:tcPr>
            <w:tcW w:w="855" w:type="dxa"/>
            <w:tcBorders>
              <w:top w:val="nil"/>
              <w:left w:val="nil"/>
              <w:bottom w:val="single" w:sz="8" w:space="0" w:color="auto"/>
              <w:right w:val="nil"/>
            </w:tcBorders>
            <w:shd w:val="clear" w:color="000000" w:fill="FFFFFF"/>
            <w:noWrap/>
            <w:hideMark/>
          </w:tcPr>
          <w:p w14:paraId="5C36850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nil"/>
              <w:left w:val="nil"/>
              <w:bottom w:val="single" w:sz="8" w:space="0" w:color="auto"/>
              <w:right w:val="nil"/>
            </w:tcBorders>
            <w:shd w:val="clear" w:color="000000" w:fill="FFFFFF"/>
            <w:noWrap/>
            <w:hideMark/>
          </w:tcPr>
          <w:p w14:paraId="329B515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single" w:sz="8" w:space="0" w:color="auto"/>
              <w:right w:val="nil"/>
            </w:tcBorders>
            <w:shd w:val="clear" w:color="000000" w:fill="FFFFFF"/>
            <w:noWrap/>
            <w:hideMark/>
          </w:tcPr>
          <w:p w14:paraId="0B8C35A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nil"/>
              <w:left w:val="nil"/>
              <w:bottom w:val="single" w:sz="8" w:space="0" w:color="auto"/>
              <w:right w:val="nil"/>
            </w:tcBorders>
            <w:shd w:val="clear" w:color="000000" w:fill="FFFFFF"/>
            <w:noWrap/>
            <w:hideMark/>
          </w:tcPr>
          <w:p w14:paraId="1CF1E56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8" w:space="0" w:color="auto"/>
              <w:right w:val="nil"/>
            </w:tcBorders>
            <w:shd w:val="clear" w:color="000000" w:fill="FFFFFF"/>
            <w:noWrap/>
            <w:hideMark/>
          </w:tcPr>
          <w:p w14:paraId="06F9CB8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3801B53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55A2AB62" w14:textId="77777777" w:rsidTr="00CF1C1E">
        <w:trPr>
          <w:trHeight w:val="20"/>
        </w:trPr>
        <w:tc>
          <w:tcPr>
            <w:tcW w:w="1196" w:type="dxa"/>
            <w:tcBorders>
              <w:top w:val="nil"/>
              <w:left w:val="nil"/>
              <w:bottom w:val="nil"/>
              <w:right w:val="nil"/>
            </w:tcBorders>
            <w:shd w:val="clear" w:color="000000" w:fill="FFFFFF"/>
            <w:hideMark/>
          </w:tcPr>
          <w:p w14:paraId="79D096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Schwenke</w:t>
            </w:r>
            <w:proofErr w:type="spellEnd"/>
            <w:r w:rsidRPr="00367BEC">
              <w:rPr>
                <w:rFonts w:ascii="Times New Roman" w:hAnsi="Times New Roman"/>
                <w:color w:val="000000"/>
                <w:sz w:val="16"/>
              </w:rPr>
              <w:t xml:space="preserve"> 2015</w:t>
            </w:r>
          </w:p>
        </w:tc>
        <w:tc>
          <w:tcPr>
            <w:tcW w:w="676" w:type="dxa"/>
            <w:tcBorders>
              <w:top w:val="nil"/>
              <w:left w:val="nil"/>
              <w:bottom w:val="nil"/>
              <w:right w:val="nil"/>
            </w:tcBorders>
            <w:shd w:val="clear" w:color="000000" w:fill="FFFFFF"/>
            <w:noWrap/>
            <w:hideMark/>
          </w:tcPr>
          <w:p w14:paraId="5218CC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Alemania</w:t>
            </w:r>
          </w:p>
        </w:tc>
        <w:tc>
          <w:tcPr>
            <w:tcW w:w="628" w:type="dxa"/>
            <w:tcBorders>
              <w:top w:val="nil"/>
              <w:left w:val="nil"/>
              <w:bottom w:val="nil"/>
              <w:right w:val="nil"/>
            </w:tcBorders>
            <w:shd w:val="clear" w:color="000000" w:fill="FFFFFF"/>
            <w:noWrap/>
            <w:hideMark/>
          </w:tcPr>
          <w:p w14:paraId="1C5A22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nil"/>
              <w:left w:val="nil"/>
              <w:bottom w:val="nil"/>
              <w:right w:val="nil"/>
            </w:tcBorders>
            <w:shd w:val="clear" w:color="000000" w:fill="FFFFFF"/>
            <w:noWrap/>
            <w:hideMark/>
          </w:tcPr>
          <w:p w14:paraId="48E510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nil"/>
              <w:left w:val="nil"/>
              <w:bottom w:val="nil"/>
              <w:right w:val="nil"/>
            </w:tcBorders>
            <w:shd w:val="clear" w:color="000000" w:fill="FFFFFF"/>
            <w:noWrap/>
            <w:hideMark/>
          </w:tcPr>
          <w:p w14:paraId="16B1C4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nil"/>
              <w:left w:val="nil"/>
              <w:bottom w:val="nil"/>
              <w:right w:val="nil"/>
            </w:tcBorders>
            <w:shd w:val="clear" w:color="000000" w:fill="FFFFFF"/>
            <w:noWrap/>
            <w:hideMark/>
          </w:tcPr>
          <w:p w14:paraId="3CBA57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143</w:t>
            </w:r>
          </w:p>
        </w:tc>
        <w:tc>
          <w:tcPr>
            <w:tcW w:w="360" w:type="dxa"/>
            <w:tcBorders>
              <w:top w:val="nil"/>
              <w:left w:val="nil"/>
              <w:bottom w:val="nil"/>
              <w:right w:val="nil"/>
            </w:tcBorders>
            <w:shd w:val="clear" w:color="000000" w:fill="FFFFFF"/>
            <w:noWrap/>
            <w:hideMark/>
          </w:tcPr>
          <w:p w14:paraId="53BF69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68,5</w:t>
            </w:r>
          </w:p>
        </w:tc>
        <w:tc>
          <w:tcPr>
            <w:tcW w:w="543" w:type="dxa"/>
            <w:tcBorders>
              <w:top w:val="nil"/>
              <w:left w:val="nil"/>
              <w:bottom w:val="nil"/>
              <w:right w:val="nil"/>
            </w:tcBorders>
            <w:shd w:val="clear" w:color="000000" w:fill="FFFFFF"/>
            <w:hideMark/>
          </w:tcPr>
          <w:p w14:paraId="71438E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(11,0)</w:t>
            </w:r>
          </w:p>
        </w:tc>
        <w:tc>
          <w:tcPr>
            <w:tcW w:w="538" w:type="dxa"/>
            <w:tcBorders>
              <w:top w:val="nil"/>
              <w:left w:val="nil"/>
              <w:bottom w:val="nil"/>
              <w:right w:val="nil"/>
            </w:tcBorders>
            <w:shd w:val="clear" w:color="000000" w:fill="FFFFFF"/>
            <w:noWrap/>
            <w:hideMark/>
          </w:tcPr>
          <w:p w14:paraId="47BE452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45,5</w:t>
            </w:r>
          </w:p>
        </w:tc>
        <w:tc>
          <w:tcPr>
            <w:tcW w:w="1325" w:type="dxa"/>
            <w:tcBorders>
              <w:top w:val="nil"/>
              <w:left w:val="nil"/>
              <w:bottom w:val="nil"/>
              <w:right w:val="nil"/>
            </w:tcBorders>
            <w:shd w:val="clear" w:color="000000" w:fill="FFFFFF"/>
            <w:noWrap/>
            <w:hideMark/>
          </w:tcPr>
          <w:p w14:paraId="69709B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Cáncer</w:t>
            </w:r>
          </w:p>
        </w:tc>
        <w:tc>
          <w:tcPr>
            <w:tcW w:w="871" w:type="dxa"/>
            <w:tcBorders>
              <w:top w:val="nil"/>
              <w:left w:val="nil"/>
              <w:bottom w:val="nil"/>
              <w:right w:val="nil"/>
            </w:tcBorders>
            <w:shd w:val="clear" w:color="000000" w:fill="FFFFFF"/>
            <w:noWrap/>
            <w:hideMark/>
          </w:tcPr>
          <w:p w14:paraId="2000C0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nil"/>
              <w:left w:val="nil"/>
              <w:bottom w:val="nil"/>
              <w:right w:val="nil"/>
            </w:tcBorders>
            <w:shd w:val="clear" w:color="000000" w:fill="FFFFFF"/>
            <w:noWrap/>
            <w:hideMark/>
          </w:tcPr>
          <w:p w14:paraId="57D8E3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0,7</w:t>
            </w:r>
          </w:p>
        </w:tc>
        <w:tc>
          <w:tcPr>
            <w:tcW w:w="872" w:type="dxa"/>
            <w:tcBorders>
              <w:top w:val="nil"/>
              <w:left w:val="nil"/>
              <w:bottom w:val="nil"/>
              <w:right w:val="nil"/>
            </w:tcBorders>
            <w:shd w:val="clear" w:color="000000" w:fill="FFFFFF"/>
            <w:noWrap/>
            <w:hideMark/>
          </w:tcPr>
          <w:p w14:paraId="36ABC3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w:t>
            </w:r>
            <w:r w:rsidRPr="00367BEC">
              <w:rPr>
                <w:rFonts w:ascii="Times New Roman" w:hAnsi="Times New Roman"/>
                <w:color w:val="000000"/>
                <w:sz w:val="16"/>
              </w:rPr>
              <w:t>/143)</w:t>
            </w:r>
          </w:p>
        </w:tc>
        <w:tc>
          <w:tcPr>
            <w:tcW w:w="855" w:type="dxa"/>
            <w:tcBorders>
              <w:top w:val="nil"/>
              <w:left w:val="nil"/>
              <w:bottom w:val="nil"/>
              <w:right w:val="nil"/>
            </w:tcBorders>
            <w:shd w:val="clear" w:color="000000" w:fill="FFFFFF"/>
            <w:noWrap/>
            <w:hideMark/>
          </w:tcPr>
          <w:p w14:paraId="768444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 m</w:t>
            </w:r>
          </w:p>
        </w:tc>
        <w:tc>
          <w:tcPr>
            <w:tcW w:w="360" w:type="dxa"/>
            <w:tcBorders>
              <w:top w:val="nil"/>
              <w:left w:val="nil"/>
              <w:bottom w:val="nil"/>
              <w:right w:val="nil"/>
            </w:tcBorders>
            <w:shd w:val="clear" w:color="000000" w:fill="FFFFFF"/>
            <w:noWrap/>
            <w:hideMark/>
          </w:tcPr>
          <w:p w14:paraId="4B3B39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39,2</w:t>
            </w:r>
          </w:p>
        </w:tc>
        <w:tc>
          <w:tcPr>
            <w:tcW w:w="872" w:type="dxa"/>
            <w:tcBorders>
              <w:top w:val="nil"/>
              <w:left w:val="nil"/>
              <w:bottom w:val="nil"/>
              <w:right w:val="nil"/>
            </w:tcBorders>
            <w:shd w:val="clear" w:color="000000" w:fill="FFFFFF"/>
            <w:noWrap/>
            <w:hideMark/>
          </w:tcPr>
          <w:p w14:paraId="3A26F1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56</w:t>
            </w:r>
            <w:r w:rsidRPr="00367BEC">
              <w:rPr>
                <w:rFonts w:ascii="Times New Roman" w:hAnsi="Times New Roman"/>
                <w:color w:val="000000"/>
                <w:sz w:val="16"/>
              </w:rPr>
              <w:t>/143)</w:t>
            </w:r>
          </w:p>
        </w:tc>
        <w:tc>
          <w:tcPr>
            <w:tcW w:w="1293" w:type="dxa"/>
            <w:tcBorders>
              <w:top w:val="nil"/>
              <w:left w:val="nil"/>
              <w:bottom w:val="nil"/>
              <w:right w:val="nil"/>
            </w:tcBorders>
            <w:shd w:val="clear" w:color="000000" w:fill="FFFFFF"/>
            <w:noWrap/>
            <w:hideMark/>
          </w:tcPr>
          <w:p w14:paraId="03003AA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ECV</w:t>
            </w:r>
          </w:p>
        </w:tc>
        <w:tc>
          <w:tcPr>
            <w:tcW w:w="380" w:type="dxa"/>
            <w:tcBorders>
              <w:top w:val="nil"/>
              <w:left w:val="nil"/>
              <w:bottom w:val="nil"/>
              <w:right w:val="nil"/>
            </w:tcBorders>
            <w:shd w:val="clear" w:color="000000" w:fill="FFFFFF"/>
            <w:noWrap/>
            <w:hideMark/>
          </w:tcPr>
          <w:p w14:paraId="3AD6B5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42,7</w:t>
            </w:r>
          </w:p>
        </w:tc>
        <w:tc>
          <w:tcPr>
            <w:tcW w:w="1287" w:type="dxa"/>
            <w:gridSpan w:val="2"/>
            <w:tcBorders>
              <w:top w:val="nil"/>
              <w:left w:val="nil"/>
              <w:bottom w:val="nil"/>
              <w:right w:val="nil"/>
            </w:tcBorders>
            <w:shd w:val="clear" w:color="000000" w:fill="FFFFFF"/>
            <w:noWrap/>
            <w:hideMark/>
          </w:tcPr>
          <w:p w14:paraId="59F2E0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61</w:t>
            </w:r>
            <w:r w:rsidRPr="00367BEC">
              <w:rPr>
                <w:rFonts w:ascii="Times New Roman" w:hAnsi="Times New Roman"/>
                <w:color w:val="000000"/>
                <w:sz w:val="16"/>
              </w:rPr>
              <w:t>/143)</w:t>
            </w:r>
          </w:p>
        </w:tc>
      </w:tr>
      <w:tr w:rsidR="002E4D99" w:rsidRPr="00367BEC" w14:paraId="6C664E32" w14:textId="77777777" w:rsidTr="00CF1C1E">
        <w:trPr>
          <w:trHeight w:val="20"/>
        </w:trPr>
        <w:tc>
          <w:tcPr>
            <w:tcW w:w="1196" w:type="dxa"/>
            <w:tcBorders>
              <w:top w:val="nil"/>
              <w:left w:val="nil"/>
              <w:bottom w:val="nil"/>
              <w:right w:val="nil"/>
            </w:tcBorders>
            <w:shd w:val="clear" w:color="000000" w:fill="FFFFFF"/>
            <w:hideMark/>
          </w:tcPr>
          <w:p w14:paraId="5C95BA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7723696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2490542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4FF89E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0FF6C1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085B8AD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3AEB40D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E242C6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7CC9897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5AABB73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08A0346A" w14:textId="25EB845D" w:rsidR="002E4D99" w:rsidRPr="00367BEC" w:rsidRDefault="00761D0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Nociceptivo</w:t>
            </w:r>
          </w:p>
        </w:tc>
        <w:tc>
          <w:tcPr>
            <w:tcW w:w="360" w:type="dxa"/>
            <w:tcBorders>
              <w:top w:val="nil"/>
              <w:left w:val="nil"/>
              <w:bottom w:val="nil"/>
              <w:right w:val="nil"/>
            </w:tcBorders>
            <w:shd w:val="clear" w:color="000000" w:fill="FFFFFF"/>
            <w:noWrap/>
            <w:hideMark/>
          </w:tcPr>
          <w:p w14:paraId="050776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4,9</w:t>
            </w:r>
          </w:p>
        </w:tc>
        <w:tc>
          <w:tcPr>
            <w:tcW w:w="872" w:type="dxa"/>
            <w:tcBorders>
              <w:top w:val="nil"/>
              <w:left w:val="nil"/>
              <w:bottom w:val="nil"/>
              <w:right w:val="nil"/>
            </w:tcBorders>
            <w:shd w:val="clear" w:color="000000" w:fill="FFFFFF"/>
            <w:noWrap/>
            <w:hideMark/>
          </w:tcPr>
          <w:p w14:paraId="0A69AF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7</w:t>
            </w:r>
            <w:r w:rsidRPr="00367BEC">
              <w:rPr>
                <w:rFonts w:ascii="Times New Roman" w:hAnsi="Times New Roman"/>
                <w:color w:val="000000"/>
                <w:sz w:val="16"/>
              </w:rPr>
              <w:t>/143)</w:t>
            </w:r>
          </w:p>
        </w:tc>
        <w:tc>
          <w:tcPr>
            <w:tcW w:w="855" w:type="dxa"/>
            <w:tcBorders>
              <w:top w:val="nil"/>
              <w:left w:val="nil"/>
              <w:bottom w:val="nil"/>
              <w:right w:val="nil"/>
            </w:tcBorders>
            <w:shd w:val="clear" w:color="000000" w:fill="FFFFFF"/>
            <w:noWrap/>
            <w:hideMark/>
          </w:tcPr>
          <w:p w14:paraId="137F6A3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&gt;3-12m</w:t>
            </w:r>
          </w:p>
        </w:tc>
        <w:tc>
          <w:tcPr>
            <w:tcW w:w="360" w:type="dxa"/>
            <w:tcBorders>
              <w:top w:val="nil"/>
              <w:left w:val="nil"/>
              <w:bottom w:val="nil"/>
              <w:right w:val="nil"/>
            </w:tcBorders>
            <w:shd w:val="clear" w:color="000000" w:fill="FFFFFF"/>
            <w:noWrap/>
            <w:hideMark/>
          </w:tcPr>
          <w:p w14:paraId="1A1AA5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40,6</w:t>
            </w:r>
          </w:p>
        </w:tc>
        <w:tc>
          <w:tcPr>
            <w:tcW w:w="872" w:type="dxa"/>
            <w:tcBorders>
              <w:top w:val="nil"/>
              <w:left w:val="nil"/>
              <w:bottom w:val="nil"/>
              <w:right w:val="nil"/>
            </w:tcBorders>
            <w:shd w:val="clear" w:color="000000" w:fill="FFFFFF"/>
            <w:noWrap/>
            <w:hideMark/>
          </w:tcPr>
          <w:p w14:paraId="0B40CB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58</w:t>
            </w:r>
            <w:r w:rsidRPr="00367BEC">
              <w:rPr>
                <w:rFonts w:ascii="Times New Roman" w:hAnsi="Times New Roman"/>
                <w:color w:val="000000"/>
                <w:sz w:val="16"/>
              </w:rPr>
              <w:t>/143)</w:t>
            </w:r>
          </w:p>
        </w:tc>
        <w:tc>
          <w:tcPr>
            <w:tcW w:w="1293" w:type="dxa"/>
            <w:tcBorders>
              <w:top w:val="nil"/>
              <w:left w:val="nil"/>
              <w:bottom w:val="nil"/>
              <w:right w:val="nil"/>
            </w:tcBorders>
            <w:shd w:val="clear" w:color="000000" w:fill="FFFFFF"/>
            <w:noWrap/>
            <w:hideMark/>
          </w:tcPr>
          <w:p w14:paraId="4FC43C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Trastorno mental</w:t>
            </w:r>
          </w:p>
        </w:tc>
        <w:tc>
          <w:tcPr>
            <w:tcW w:w="380" w:type="dxa"/>
            <w:tcBorders>
              <w:top w:val="nil"/>
              <w:left w:val="nil"/>
              <w:bottom w:val="nil"/>
              <w:right w:val="nil"/>
            </w:tcBorders>
            <w:shd w:val="clear" w:color="000000" w:fill="FFFFFF"/>
            <w:noWrap/>
            <w:hideMark/>
          </w:tcPr>
          <w:p w14:paraId="3643EB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23,1</w:t>
            </w:r>
          </w:p>
        </w:tc>
        <w:tc>
          <w:tcPr>
            <w:tcW w:w="1287" w:type="dxa"/>
            <w:gridSpan w:val="2"/>
            <w:tcBorders>
              <w:top w:val="nil"/>
              <w:left w:val="nil"/>
              <w:bottom w:val="nil"/>
              <w:right w:val="nil"/>
            </w:tcBorders>
            <w:shd w:val="clear" w:color="000000" w:fill="FFFFFF"/>
            <w:noWrap/>
            <w:hideMark/>
          </w:tcPr>
          <w:p w14:paraId="66AF41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33</w:t>
            </w:r>
            <w:r w:rsidRPr="00367BEC">
              <w:rPr>
                <w:rFonts w:ascii="Times New Roman" w:hAnsi="Times New Roman"/>
                <w:color w:val="000000"/>
                <w:sz w:val="16"/>
              </w:rPr>
              <w:t>/143)</w:t>
            </w:r>
          </w:p>
        </w:tc>
      </w:tr>
      <w:tr w:rsidR="002E4D99" w:rsidRPr="00367BEC" w14:paraId="571B30E7" w14:textId="77777777" w:rsidTr="00CF1C1E">
        <w:trPr>
          <w:trHeight w:val="20"/>
        </w:trPr>
        <w:tc>
          <w:tcPr>
            <w:tcW w:w="1196" w:type="dxa"/>
            <w:tcBorders>
              <w:top w:val="nil"/>
              <w:left w:val="nil"/>
              <w:bottom w:val="nil"/>
              <w:right w:val="nil"/>
            </w:tcBorders>
            <w:shd w:val="clear" w:color="000000" w:fill="FFFFFF"/>
            <w:hideMark/>
          </w:tcPr>
          <w:p w14:paraId="2BD2C53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4FE546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nil"/>
              <w:right w:val="nil"/>
            </w:tcBorders>
            <w:shd w:val="clear" w:color="000000" w:fill="FFFFFF"/>
            <w:noWrap/>
            <w:hideMark/>
          </w:tcPr>
          <w:p w14:paraId="29BC02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2CBDF25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0E07E11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5F53A44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26D2C92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7F7AE8C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2941FD4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639F647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74DEF0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nil"/>
              <w:right w:val="nil"/>
            </w:tcBorders>
            <w:shd w:val="clear" w:color="000000" w:fill="FFFFFF"/>
            <w:noWrap/>
            <w:hideMark/>
          </w:tcPr>
          <w:p w14:paraId="27B821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85,3</w:t>
            </w:r>
          </w:p>
        </w:tc>
        <w:tc>
          <w:tcPr>
            <w:tcW w:w="872" w:type="dxa"/>
            <w:tcBorders>
              <w:top w:val="nil"/>
              <w:left w:val="nil"/>
              <w:bottom w:val="nil"/>
              <w:right w:val="nil"/>
            </w:tcBorders>
            <w:shd w:val="clear" w:color="000000" w:fill="FFFFFF"/>
            <w:noWrap/>
            <w:hideMark/>
          </w:tcPr>
          <w:p w14:paraId="5DEF3BC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122</w:t>
            </w:r>
            <w:r w:rsidRPr="00367BEC">
              <w:rPr>
                <w:rFonts w:ascii="Times New Roman" w:hAnsi="Times New Roman"/>
                <w:color w:val="000000"/>
                <w:sz w:val="16"/>
              </w:rPr>
              <w:t>/143)</w:t>
            </w:r>
          </w:p>
        </w:tc>
        <w:tc>
          <w:tcPr>
            <w:tcW w:w="855" w:type="dxa"/>
            <w:tcBorders>
              <w:top w:val="nil"/>
              <w:left w:val="nil"/>
              <w:bottom w:val="nil"/>
              <w:right w:val="nil"/>
            </w:tcBorders>
            <w:shd w:val="clear" w:color="000000" w:fill="FFFFFF"/>
            <w:noWrap/>
            <w:hideMark/>
          </w:tcPr>
          <w:p w14:paraId="3DD66CF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 &gt;1 a</w:t>
            </w:r>
          </w:p>
        </w:tc>
        <w:tc>
          <w:tcPr>
            <w:tcW w:w="360" w:type="dxa"/>
            <w:tcBorders>
              <w:top w:val="nil"/>
              <w:left w:val="nil"/>
              <w:bottom w:val="nil"/>
              <w:right w:val="nil"/>
            </w:tcBorders>
            <w:shd w:val="clear" w:color="000000" w:fill="FFFFFF"/>
            <w:noWrap/>
            <w:hideMark/>
          </w:tcPr>
          <w:p w14:paraId="661FD1E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20,3</w:t>
            </w:r>
          </w:p>
        </w:tc>
        <w:tc>
          <w:tcPr>
            <w:tcW w:w="872" w:type="dxa"/>
            <w:tcBorders>
              <w:top w:val="nil"/>
              <w:left w:val="nil"/>
              <w:bottom w:val="nil"/>
              <w:right w:val="nil"/>
            </w:tcBorders>
            <w:shd w:val="clear" w:color="000000" w:fill="FFFFFF"/>
            <w:noWrap/>
            <w:hideMark/>
          </w:tcPr>
          <w:p w14:paraId="6DC409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29</w:t>
            </w:r>
            <w:r w:rsidRPr="00367BEC">
              <w:rPr>
                <w:rFonts w:ascii="Times New Roman" w:hAnsi="Times New Roman"/>
                <w:color w:val="000000"/>
                <w:sz w:val="16"/>
              </w:rPr>
              <w:t>/143)</w:t>
            </w:r>
          </w:p>
        </w:tc>
        <w:tc>
          <w:tcPr>
            <w:tcW w:w="1293" w:type="dxa"/>
            <w:tcBorders>
              <w:top w:val="nil"/>
              <w:left w:val="nil"/>
              <w:bottom w:val="nil"/>
              <w:right w:val="nil"/>
            </w:tcBorders>
            <w:shd w:val="clear" w:color="000000" w:fill="FFFFFF"/>
            <w:noWrap/>
            <w:hideMark/>
          </w:tcPr>
          <w:p w14:paraId="14AFF5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Trastorno metabólico</w:t>
            </w:r>
          </w:p>
        </w:tc>
        <w:tc>
          <w:tcPr>
            <w:tcW w:w="380" w:type="dxa"/>
            <w:tcBorders>
              <w:top w:val="nil"/>
              <w:left w:val="nil"/>
              <w:bottom w:val="nil"/>
              <w:right w:val="nil"/>
            </w:tcBorders>
            <w:shd w:val="clear" w:color="000000" w:fill="FFFFFF"/>
            <w:noWrap/>
            <w:hideMark/>
          </w:tcPr>
          <w:p w14:paraId="3D6B7E5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19,6</w:t>
            </w:r>
          </w:p>
        </w:tc>
        <w:tc>
          <w:tcPr>
            <w:tcW w:w="1287" w:type="dxa"/>
            <w:gridSpan w:val="2"/>
            <w:tcBorders>
              <w:top w:val="nil"/>
              <w:left w:val="nil"/>
              <w:bottom w:val="single" w:sz="8" w:space="0" w:color="auto"/>
              <w:right w:val="nil"/>
            </w:tcBorders>
            <w:shd w:val="clear" w:color="000000" w:fill="FFFFFF"/>
            <w:noWrap/>
            <w:hideMark/>
          </w:tcPr>
          <w:p w14:paraId="5FDA5C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28</w:t>
            </w:r>
            <w:r w:rsidRPr="00367BEC">
              <w:rPr>
                <w:rFonts w:ascii="Times New Roman" w:hAnsi="Times New Roman"/>
                <w:color w:val="000000"/>
                <w:sz w:val="16"/>
              </w:rPr>
              <w:t>/143)</w:t>
            </w:r>
          </w:p>
        </w:tc>
      </w:tr>
      <w:tr w:rsidR="002E4D99" w:rsidRPr="00367BEC" w14:paraId="3E4DC599" w14:textId="77777777" w:rsidTr="00CF1C1E">
        <w:trPr>
          <w:trHeight w:val="139"/>
        </w:trPr>
        <w:tc>
          <w:tcPr>
            <w:tcW w:w="1196" w:type="dxa"/>
            <w:tcBorders>
              <w:top w:val="single" w:sz="8" w:space="0" w:color="auto"/>
              <w:left w:val="nil"/>
              <w:bottom w:val="nil"/>
              <w:right w:val="nil"/>
            </w:tcBorders>
            <w:shd w:val="clear" w:color="000000" w:fill="FFFFFF"/>
            <w:hideMark/>
          </w:tcPr>
          <w:p w14:paraId="492FF3A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Schikowski</w:t>
            </w:r>
            <w:proofErr w:type="spellEnd"/>
            <w:r w:rsidRPr="00367BEC">
              <w:rPr>
                <w:rFonts w:ascii="Times New Roman" w:hAnsi="Times New Roman"/>
                <w:color w:val="000000"/>
                <w:sz w:val="16"/>
              </w:rPr>
              <w:t xml:space="preserve"> 2015</w:t>
            </w:r>
          </w:p>
        </w:tc>
        <w:tc>
          <w:tcPr>
            <w:tcW w:w="676" w:type="dxa"/>
            <w:tcBorders>
              <w:top w:val="single" w:sz="8" w:space="0" w:color="auto"/>
              <w:left w:val="nil"/>
              <w:bottom w:val="nil"/>
              <w:right w:val="nil"/>
            </w:tcBorders>
            <w:shd w:val="clear" w:color="000000" w:fill="FFFFFF"/>
            <w:noWrap/>
            <w:hideMark/>
          </w:tcPr>
          <w:p w14:paraId="4FA3DA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Alemania</w:t>
            </w:r>
          </w:p>
        </w:tc>
        <w:tc>
          <w:tcPr>
            <w:tcW w:w="628" w:type="dxa"/>
            <w:tcBorders>
              <w:top w:val="single" w:sz="8" w:space="0" w:color="auto"/>
              <w:left w:val="nil"/>
              <w:bottom w:val="nil"/>
              <w:right w:val="nil"/>
            </w:tcBorders>
            <w:shd w:val="clear" w:color="000000" w:fill="FFFFFF"/>
            <w:noWrap/>
            <w:hideMark/>
          </w:tcPr>
          <w:p w14:paraId="5C0582C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single" w:sz="8" w:space="0" w:color="auto"/>
              <w:left w:val="nil"/>
              <w:bottom w:val="nil"/>
              <w:right w:val="nil"/>
            </w:tcBorders>
            <w:shd w:val="clear" w:color="000000" w:fill="FFFFFF"/>
            <w:noWrap/>
            <w:hideMark/>
          </w:tcPr>
          <w:p w14:paraId="5A7822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12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nil"/>
              <w:right w:val="nil"/>
            </w:tcBorders>
            <w:shd w:val="clear" w:color="000000" w:fill="FFFFFF"/>
            <w:noWrap/>
            <w:hideMark/>
          </w:tcPr>
          <w:p w14:paraId="4DD555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00" w:type="dxa"/>
            <w:tcBorders>
              <w:top w:val="single" w:sz="8" w:space="0" w:color="auto"/>
              <w:left w:val="nil"/>
              <w:bottom w:val="nil"/>
              <w:right w:val="nil"/>
            </w:tcBorders>
            <w:shd w:val="clear" w:color="000000" w:fill="FFFFFF"/>
            <w:noWrap/>
            <w:hideMark/>
          </w:tcPr>
          <w:p w14:paraId="0C4789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123</w:t>
            </w:r>
          </w:p>
        </w:tc>
        <w:tc>
          <w:tcPr>
            <w:tcW w:w="360" w:type="dxa"/>
            <w:tcBorders>
              <w:top w:val="single" w:sz="8" w:space="0" w:color="auto"/>
              <w:left w:val="nil"/>
              <w:bottom w:val="nil"/>
              <w:right w:val="nil"/>
            </w:tcBorders>
            <w:shd w:val="clear" w:color="000000" w:fill="FFFFFF"/>
            <w:noWrap/>
            <w:hideMark/>
          </w:tcPr>
          <w:p w14:paraId="2F7BA2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63,9</w:t>
            </w:r>
          </w:p>
        </w:tc>
        <w:tc>
          <w:tcPr>
            <w:tcW w:w="543" w:type="dxa"/>
            <w:tcBorders>
              <w:top w:val="single" w:sz="8" w:space="0" w:color="auto"/>
              <w:left w:val="nil"/>
              <w:bottom w:val="nil"/>
              <w:right w:val="nil"/>
            </w:tcBorders>
            <w:shd w:val="clear" w:color="000000" w:fill="FFFFFF"/>
            <w:hideMark/>
          </w:tcPr>
          <w:p w14:paraId="351F75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(13,2)</w:t>
            </w:r>
          </w:p>
        </w:tc>
        <w:tc>
          <w:tcPr>
            <w:tcW w:w="538" w:type="dxa"/>
            <w:tcBorders>
              <w:top w:val="single" w:sz="8" w:space="0" w:color="auto"/>
              <w:left w:val="nil"/>
              <w:bottom w:val="nil"/>
              <w:right w:val="nil"/>
            </w:tcBorders>
            <w:shd w:val="clear" w:color="000000" w:fill="FFFFFF"/>
            <w:noWrap/>
            <w:hideMark/>
          </w:tcPr>
          <w:p w14:paraId="12DBEF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51,2</w:t>
            </w:r>
          </w:p>
        </w:tc>
        <w:tc>
          <w:tcPr>
            <w:tcW w:w="1325" w:type="dxa"/>
            <w:tcBorders>
              <w:top w:val="single" w:sz="8" w:space="0" w:color="auto"/>
              <w:left w:val="nil"/>
              <w:bottom w:val="nil"/>
              <w:right w:val="nil"/>
            </w:tcBorders>
            <w:shd w:val="clear" w:color="000000" w:fill="FFFFFF"/>
            <w:noWrap/>
            <w:hideMark/>
          </w:tcPr>
          <w:p w14:paraId="1A77AD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Cáncer</w:t>
            </w:r>
          </w:p>
        </w:tc>
        <w:tc>
          <w:tcPr>
            <w:tcW w:w="871" w:type="dxa"/>
            <w:tcBorders>
              <w:top w:val="single" w:sz="8" w:space="0" w:color="auto"/>
              <w:left w:val="nil"/>
              <w:bottom w:val="nil"/>
              <w:right w:val="nil"/>
            </w:tcBorders>
            <w:shd w:val="clear" w:color="000000" w:fill="FFFFFF"/>
            <w:noWrap/>
            <w:hideMark/>
          </w:tcPr>
          <w:p w14:paraId="7C5AC7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nil"/>
              <w:right w:val="nil"/>
            </w:tcBorders>
            <w:shd w:val="clear" w:color="000000" w:fill="FFFFFF"/>
            <w:noWrap/>
            <w:hideMark/>
          </w:tcPr>
          <w:p w14:paraId="419FD9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9,8</w:t>
            </w:r>
          </w:p>
        </w:tc>
        <w:tc>
          <w:tcPr>
            <w:tcW w:w="872" w:type="dxa"/>
            <w:tcBorders>
              <w:top w:val="single" w:sz="8" w:space="0" w:color="auto"/>
              <w:left w:val="nil"/>
              <w:bottom w:val="nil"/>
              <w:right w:val="nil"/>
            </w:tcBorders>
            <w:shd w:val="clear" w:color="000000" w:fill="FFFFFF"/>
            <w:noWrap/>
            <w:hideMark/>
          </w:tcPr>
          <w:p w14:paraId="2C74BB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12</w:t>
            </w:r>
            <w:r w:rsidRPr="00367BEC">
              <w:rPr>
                <w:rFonts w:ascii="Times New Roman" w:hAnsi="Times New Roman"/>
                <w:color w:val="000000"/>
                <w:sz w:val="16"/>
              </w:rPr>
              <w:t>/123)</w:t>
            </w:r>
          </w:p>
        </w:tc>
        <w:tc>
          <w:tcPr>
            <w:tcW w:w="855" w:type="dxa"/>
            <w:tcBorders>
              <w:top w:val="single" w:sz="8" w:space="0" w:color="auto"/>
              <w:left w:val="nil"/>
              <w:bottom w:val="nil"/>
              <w:right w:val="nil"/>
            </w:tcBorders>
            <w:shd w:val="clear" w:color="000000" w:fill="FFFFFF"/>
            <w:noWrap/>
            <w:hideMark/>
          </w:tcPr>
          <w:p w14:paraId="15496E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&lt;1 a</w:t>
            </w:r>
          </w:p>
        </w:tc>
        <w:tc>
          <w:tcPr>
            <w:tcW w:w="360" w:type="dxa"/>
            <w:tcBorders>
              <w:top w:val="single" w:sz="8" w:space="0" w:color="auto"/>
              <w:left w:val="nil"/>
              <w:bottom w:val="nil"/>
              <w:right w:val="nil"/>
            </w:tcBorders>
            <w:shd w:val="clear" w:color="000000" w:fill="FFFFFF"/>
            <w:noWrap/>
            <w:hideMark/>
          </w:tcPr>
          <w:p w14:paraId="3D24A24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23,6</w:t>
            </w:r>
          </w:p>
        </w:tc>
        <w:tc>
          <w:tcPr>
            <w:tcW w:w="872" w:type="dxa"/>
            <w:tcBorders>
              <w:top w:val="single" w:sz="8" w:space="0" w:color="auto"/>
              <w:left w:val="nil"/>
              <w:bottom w:val="nil"/>
              <w:right w:val="nil"/>
            </w:tcBorders>
            <w:shd w:val="clear" w:color="000000" w:fill="FFFFFF"/>
            <w:noWrap/>
            <w:hideMark/>
          </w:tcPr>
          <w:p w14:paraId="417318B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(29/123)</w:t>
            </w:r>
          </w:p>
        </w:tc>
        <w:tc>
          <w:tcPr>
            <w:tcW w:w="1293" w:type="dxa"/>
            <w:tcBorders>
              <w:top w:val="single" w:sz="8" w:space="0" w:color="auto"/>
              <w:left w:val="nil"/>
              <w:bottom w:val="nil"/>
              <w:right w:val="nil"/>
            </w:tcBorders>
            <w:shd w:val="clear" w:color="000000" w:fill="FFFFFF"/>
            <w:noWrap/>
            <w:hideMark/>
          </w:tcPr>
          <w:p w14:paraId="778846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Hipertensión</w:t>
            </w:r>
          </w:p>
        </w:tc>
        <w:tc>
          <w:tcPr>
            <w:tcW w:w="380" w:type="dxa"/>
            <w:tcBorders>
              <w:top w:val="single" w:sz="8" w:space="0" w:color="auto"/>
              <w:left w:val="nil"/>
              <w:bottom w:val="nil"/>
              <w:right w:val="nil"/>
            </w:tcBorders>
            <w:shd w:val="clear" w:color="000000" w:fill="FFFFFF"/>
            <w:noWrap/>
            <w:hideMark/>
          </w:tcPr>
          <w:p w14:paraId="41FBE5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44,7</w:t>
            </w:r>
          </w:p>
        </w:tc>
        <w:tc>
          <w:tcPr>
            <w:tcW w:w="1287" w:type="dxa"/>
            <w:gridSpan w:val="2"/>
            <w:tcBorders>
              <w:top w:val="nil"/>
              <w:left w:val="nil"/>
              <w:bottom w:val="nil"/>
              <w:right w:val="nil"/>
            </w:tcBorders>
            <w:shd w:val="clear" w:color="000000" w:fill="FFFFFF"/>
            <w:noWrap/>
            <w:hideMark/>
          </w:tcPr>
          <w:p w14:paraId="7798DC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55</w:t>
            </w:r>
            <w:r w:rsidRPr="00367BEC">
              <w:rPr>
                <w:rFonts w:ascii="Times New Roman" w:hAnsi="Times New Roman"/>
                <w:color w:val="000000"/>
                <w:sz w:val="16"/>
              </w:rPr>
              <w:t>/123)</w:t>
            </w:r>
          </w:p>
        </w:tc>
      </w:tr>
      <w:tr w:rsidR="002E4D99" w:rsidRPr="00367BEC" w14:paraId="6A7703F4" w14:textId="77777777" w:rsidTr="00CF1C1E">
        <w:trPr>
          <w:trHeight w:val="20"/>
        </w:trPr>
        <w:tc>
          <w:tcPr>
            <w:tcW w:w="1196" w:type="dxa"/>
            <w:tcBorders>
              <w:top w:val="nil"/>
              <w:left w:val="nil"/>
              <w:bottom w:val="nil"/>
              <w:right w:val="nil"/>
            </w:tcBorders>
            <w:shd w:val="clear" w:color="000000" w:fill="FFFFFF"/>
            <w:hideMark/>
          </w:tcPr>
          <w:p w14:paraId="48A263C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nil"/>
              <w:right w:val="nil"/>
            </w:tcBorders>
            <w:shd w:val="clear" w:color="000000" w:fill="FFFFFF"/>
            <w:noWrap/>
            <w:hideMark/>
          </w:tcPr>
          <w:p w14:paraId="18DBE540"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628" w:type="dxa"/>
            <w:tcBorders>
              <w:top w:val="nil"/>
              <w:left w:val="nil"/>
              <w:bottom w:val="nil"/>
              <w:right w:val="nil"/>
            </w:tcBorders>
            <w:shd w:val="clear" w:color="000000" w:fill="FFFFFF"/>
            <w:noWrap/>
            <w:hideMark/>
          </w:tcPr>
          <w:p w14:paraId="46F695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nil"/>
              <w:right w:val="nil"/>
            </w:tcBorders>
            <w:shd w:val="clear" w:color="000000" w:fill="FFFFFF"/>
            <w:noWrap/>
            <w:hideMark/>
          </w:tcPr>
          <w:p w14:paraId="7CC0F4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nil"/>
              <w:right w:val="nil"/>
            </w:tcBorders>
            <w:shd w:val="clear" w:color="000000" w:fill="FFFFFF"/>
            <w:noWrap/>
            <w:hideMark/>
          </w:tcPr>
          <w:p w14:paraId="1171D2F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nil"/>
              <w:right w:val="nil"/>
            </w:tcBorders>
            <w:shd w:val="clear" w:color="000000" w:fill="FFFFFF"/>
            <w:noWrap/>
            <w:hideMark/>
          </w:tcPr>
          <w:p w14:paraId="56B6DAD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noWrap/>
            <w:hideMark/>
          </w:tcPr>
          <w:p w14:paraId="3FF6622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nil"/>
              <w:right w:val="nil"/>
            </w:tcBorders>
            <w:shd w:val="clear" w:color="000000" w:fill="FFFFFF"/>
            <w:hideMark/>
          </w:tcPr>
          <w:p w14:paraId="6A1FD87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nil"/>
              <w:right w:val="nil"/>
            </w:tcBorders>
            <w:shd w:val="clear" w:color="000000" w:fill="FFFFFF"/>
            <w:noWrap/>
            <w:hideMark/>
          </w:tcPr>
          <w:p w14:paraId="62C041D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nil"/>
              <w:right w:val="nil"/>
            </w:tcBorders>
            <w:shd w:val="clear" w:color="000000" w:fill="FFFFFF"/>
            <w:noWrap/>
            <w:hideMark/>
          </w:tcPr>
          <w:p w14:paraId="04A9E10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nil"/>
              <w:right w:val="nil"/>
            </w:tcBorders>
            <w:shd w:val="clear" w:color="000000" w:fill="FFFFFF"/>
            <w:noWrap/>
            <w:hideMark/>
          </w:tcPr>
          <w:p w14:paraId="042B2EFA" w14:textId="5741A1E6" w:rsidR="002E4D99" w:rsidRPr="00367BEC" w:rsidRDefault="00761D0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Nociceptivo</w:t>
            </w:r>
          </w:p>
        </w:tc>
        <w:tc>
          <w:tcPr>
            <w:tcW w:w="360" w:type="dxa"/>
            <w:tcBorders>
              <w:top w:val="nil"/>
              <w:left w:val="nil"/>
              <w:bottom w:val="nil"/>
              <w:right w:val="nil"/>
            </w:tcBorders>
            <w:shd w:val="clear" w:color="000000" w:fill="FFFFFF"/>
            <w:noWrap/>
            <w:hideMark/>
          </w:tcPr>
          <w:p w14:paraId="07B5E7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7,3</w:t>
            </w:r>
          </w:p>
        </w:tc>
        <w:tc>
          <w:tcPr>
            <w:tcW w:w="872" w:type="dxa"/>
            <w:tcBorders>
              <w:top w:val="nil"/>
              <w:left w:val="nil"/>
              <w:bottom w:val="nil"/>
              <w:right w:val="nil"/>
            </w:tcBorders>
            <w:shd w:val="clear" w:color="000000" w:fill="FFFFFF"/>
            <w:noWrap/>
            <w:hideMark/>
          </w:tcPr>
          <w:p w14:paraId="6878C9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w:t>
            </w:r>
            <w:r w:rsidRPr="00367BEC">
              <w:rPr>
                <w:rFonts w:ascii="Times New Roman" w:hAnsi="Times New Roman"/>
                <w:color w:val="000000"/>
                <w:sz w:val="16"/>
              </w:rPr>
              <w:t>/123)</w:t>
            </w:r>
          </w:p>
        </w:tc>
        <w:tc>
          <w:tcPr>
            <w:tcW w:w="855" w:type="dxa"/>
            <w:tcBorders>
              <w:top w:val="nil"/>
              <w:left w:val="nil"/>
              <w:bottom w:val="nil"/>
              <w:right w:val="nil"/>
            </w:tcBorders>
            <w:shd w:val="clear" w:color="000000" w:fill="FFFFFF"/>
            <w:noWrap/>
            <w:hideMark/>
          </w:tcPr>
          <w:p w14:paraId="7CC8A6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1-&lt;5 a</w:t>
            </w:r>
          </w:p>
        </w:tc>
        <w:tc>
          <w:tcPr>
            <w:tcW w:w="360" w:type="dxa"/>
            <w:tcBorders>
              <w:top w:val="nil"/>
              <w:left w:val="nil"/>
              <w:bottom w:val="nil"/>
              <w:right w:val="nil"/>
            </w:tcBorders>
            <w:shd w:val="clear" w:color="000000" w:fill="FFFFFF"/>
            <w:noWrap/>
            <w:hideMark/>
          </w:tcPr>
          <w:p w14:paraId="389F70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52,9</w:t>
            </w:r>
          </w:p>
        </w:tc>
        <w:tc>
          <w:tcPr>
            <w:tcW w:w="872" w:type="dxa"/>
            <w:tcBorders>
              <w:top w:val="nil"/>
              <w:left w:val="nil"/>
              <w:bottom w:val="nil"/>
              <w:right w:val="nil"/>
            </w:tcBorders>
            <w:shd w:val="clear" w:color="000000" w:fill="FFFFFF"/>
            <w:noWrap/>
            <w:hideMark/>
          </w:tcPr>
          <w:p w14:paraId="579E15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(65/123)</w:t>
            </w:r>
          </w:p>
        </w:tc>
        <w:tc>
          <w:tcPr>
            <w:tcW w:w="1293" w:type="dxa"/>
            <w:tcBorders>
              <w:top w:val="nil"/>
              <w:left w:val="nil"/>
              <w:bottom w:val="nil"/>
              <w:right w:val="nil"/>
            </w:tcBorders>
            <w:shd w:val="clear" w:color="000000" w:fill="FFFFFF"/>
            <w:noWrap/>
            <w:hideMark/>
          </w:tcPr>
          <w:p w14:paraId="66AEBC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noWrap/>
            <w:hideMark/>
          </w:tcPr>
          <w:p w14:paraId="587B11F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nil"/>
              <w:right w:val="nil"/>
            </w:tcBorders>
            <w:shd w:val="clear" w:color="000000" w:fill="FFFFFF"/>
            <w:noWrap/>
            <w:hideMark/>
          </w:tcPr>
          <w:p w14:paraId="046D26D2"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4F61E01C" w14:textId="77777777" w:rsidTr="00CF1C1E">
        <w:trPr>
          <w:trHeight w:val="20"/>
        </w:trPr>
        <w:tc>
          <w:tcPr>
            <w:tcW w:w="1196" w:type="dxa"/>
            <w:tcBorders>
              <w:top w:val="nil"/>
              <w:left w:val="nil"/>
              <w:bottom w:val="single" w:sz="8" w:space="0" w:color="auto"/>
              <w:right w:val="nil"/>
            </w:tcBorders>
            <w:shd w:val="clear" w:color="000000" w:fill="FFFFFF"/>
            <w:hideMark/>
          </w:tcPr>
          <w:p w14:paraId="72DF94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76" w:type="dxa"/>
            <w:tcBorders>
              <w:top w:val="nil"/>
              <w:left w:val="nil"/>
              <w:bottom w:val="single" w:sz="8" w:space="0" w:color="auto"/>
              <w:right w:val="nil"/>
            </w:tcBorders>
            <w:shd w:val="clear" w:color="000000" w:fill="FFFFFF"/>
            <w:noWrap/>
            <w:hideMark/>
          </w:tcPr>
          <w:p w14:paraId="06489C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8" w:type="dxa"/>
            <w:tcBorders>
              <w:top w:val="nil"/>
              <w:left w:val="nil"/>
              <w:bottom w:val="single" w:sz="8" w:space="0" w:color="auto"/>
              <w:right w:val="nil"/>
            </w:tcBorders>
            <w:shd w:val="clear" w:color="000000" w:fill="FFFFFF"/>
            <w:noWrap/>
            <w:hideMark/>
          </w:tcPr>
          <w:p w14:paraId="2AB7D8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3" w:type="dxa"/>
            <w:tcBorders>
              <w:top w:val="nil"/>
              <w:left w:val="nil"/>
              <w:bottom w:val="single" w:sz="8" w:space="0" w:color="auto"/>
              <w:right w:val="nil"/>
            </w:tcBorders>
            <w:shd w:val="clear" w:color="000000" w:fill="FFFFFF"/>
            <w:noWrap/>
            <w:hideMark/>
          </w:tcPr>
          <w:p w14:paraId="69E95D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8" w:type="dxa"/>
            <w:tcBorders>
              <w:top w:val="nil"/>
              <w:left w:val="nil"/>
              <w:bottom w:val="single" w:sz="8" w:space="0" w:color="auto"/>
              <w:right w:val="nil"/>
            </w:tcBorders>
            <w:shd w:val="clear" w:color="000000" w:fill="FFFFFF"/>
            <w:noWrap/>
            <w:hideMark/>
          </w:tcPr>
          <w:p w14:paraId="38BF14A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00" w:type="dxa"/>
            <w:tcBorders>
              <w:top w:val="nil"/>
              <w:left w:val="nil"/>
              <w:bottom w:val="single" w:sz="8" w:space="0" w:color="auto"/>
              <w:right w:val="nil"/>
            </w:tcBorders>
            <w:shd w:val="clear" w:color="000000" w:fill="FFFFFF"/>
            <w:noWrap/>
            <w:hideMark/>
          </w:tcPr>
          <w:p w14:paraId="1587119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single" w:sz="8" w:space="0" w:color="auto"/>
              <w:right w:val="nil"/>
            </w:tcBorders>
            <w:shd w:val="clear" w:color="000000" w:fill="FFFFFF"/>
            <w:noWrap/>
            <w:hideMark/>
          </w:tcPr>
          <w:p w14:paraId="79BADB6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43" w:type="dxa"/>
            <w:tcBorders>
              <w:top w:val="nil"/>
              <w:left w:val="nil"/>
              <w:bottom w:val="single" w:sz="8" w:space="0" w:color="auto"/>
              <w:right w:val="nil"/>
            </w:tcBorders>
            <w:shd w:val="clear" w:color="000000" w:fill="FFFFFF"/>
            <w:hideMark/>
          </w:tcPr>
          <w:p w14:paraId="107F901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538" w:type="dxa"/>
            <w:tcBorders>
              <w:top w:val="nil"/>
              <w:left w:val="nil"/>
              <w:bottom w:val="single" w:sz="8" w:space="0" w:color="auto"/>
              <w:right w:val="nil"/>
            </w:tcBorders>
            <w:shd w:val="clear" w:color="000000" w:fill="FFFFFF"/>
            <w:noWrap/>
            <w:hideMark/>
          </w:tcPr>
          <w:p w14:paraId="08C80A3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325" w:type="dxa"/>
            <w:tcBorders>
              <w:top w:val="nil"/>
              <w:left w:val="nil"/>
              <w:bottom w:val="single" w:sz="8" w:space="0" w:color="auto"/>
              <w:right w:val="nil"/>
            </w:tcBorders>
            <w:shd w:val="clear" w:color="000000" w:fill="FFFFFF"/>
            <w:noWrap/>
            <w:hideMark/>
          </w:tcPr>
          <w:p w14:paraId="7D3BBDF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1" w:type="dxa"/>
            <w:tcBorders>
              <w:top w:val="nil"/>
              <w:left w:val="nil"/>
              <w:bottom w:val="single" w:sz="8" w:space="0" w:color="auto"/>
              <w:right w:val="nil"/>
            </w:tcBorders>
            <w:shd w:val="clear" w:color="000000" w:fill="FFFFFF"/>
            <w:noWrap/>
            <w:hideMark/>
          </w:tcPr>
          <w:p w14:paraId="77F4519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Mixto</w:t>
            </w:r>
          </w:p>
        </w:tc>
        <w:tc>
          <w:tcPr>
            <w:tcW w:w="360" w:type="dxa"/>
            <w:tcBorders>
              <w:top w:val="nil"/>
              <w:left w:val="nil"/>
              <w:bottom w:val="single" w:sz="8" w:space="0" w:color="auto"/>
              <w:right w:val="nil"/>
            </w:tcBorders>
            <w:shd w:val="clear" w:color="000000" w:fill="FFFFFF"/>
            <w:noWrap/>
            <w:hideMark/>
          </w:tcPr>
          <w:p w14:paraId="72EC42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74,0</w:t>
            </w:r>
          </w:p>
        </w:tc>
        <w:tc>
          <w:tcPr>
            <w:tcW w:w="872" w:type="dxa"/>
            <w:tcBorders>
              <w:top w:val="nil"/>
              <w:left w:val="nil"/>
              <w:bottom w:val="single" w:sz="8" w:space="0" w:color="auto"/>
              <w:right w:val="nil"/>
            </w:tcBorders>
            <w:shd w:val="clear" w:color="000000" w:fill="FFFFFF"/>
            <w:noWrap/>
            <w:hideMark/>
          </w:tcPr>
          <w:p w14:paraId="6CB8D32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91</w:t>
            </w:r>
            <w:r w:rsidRPr="00367BEC">
              <w:rPr>
                <w:rFonts w:ascii="Times New Roman" w:hAnsi="Times New Roman"/>
                <w:color w:val="000000"/>
                <w:sz w:val="16"/>
              </w:rPr>
              <w:t>/123)</w:t>
            </w:r>
          </w:p>
        </w:tc>
        <w:tc>
          <w:tcPr>
            <w:tcW w:w="855" w:type="dxa"/>
            <w:tcBorders>
              <w:top w:val="nil"/>
              <w:left w:val="nil"/>
              <w:bottom w:val="single" w:sz="8" w:space="0" w:color="auto"/>
              <w:right w:val="nil"/>
            </w:tcBorders>
            <w:shd w:val="clear" w:color="000000" w:fill="FFFFFF"/>
            <w:noWrap/>
            <w:hideMark/>
          </w:tcPr>
          <w:p w14:paraId="09893B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 a</w:t>
            </w:r>
          </w:p>
        </w:tc>
        <w:tc>
          <w:tcPr>
            <w:tcW w:w="360" w:type="dxa"/>
            <w:tcBorders>
              <w:top w:val="nil"/>
              <w:left w:val="nil"/>
              <w:bottom w:val="single" w:sz="8" w:space="0" w:color="auto"/>
              <w:right w:val="nil"/>
            </w:tcBorders>
            <w:shd w:val="clear" w:color="000000" w:fill="FFFFFF"/>
            <w:noWrap/>
            <w:hideMark/>
          </w:tcPr>
          <w:p w14:paraId="70C765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22,8</w:t>
            </w:r>
          </w:p>
        </w:tc>
        <w:tc>
          <w:tcPr>
            <w:tcW w:w="872" w:type="dxa"/>
            <w:tcBorders>
              <w:top w:val="nil"/>
              <w:left w:val="nil"/>
              <w:bottom w:val="single" w:sz="8" w:space="0" w:color="auto"/>
              <w:right w:val="nil"/>
            </w:tcBorders>
            <w:shd w:val="clear" w:color="000000" w:fill="FFFFFF"/>
            <w:noWrap/>
            <w:hideMark/>
          </w:tcPr>
          <w:p w14:paraId="2C9D77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(28/123)</w:t>
            </w:r>
          </w:p>
        </w:tc>
        <w:tc>
          <w:tcPr>
            <w:tcW w:w="1293" w:type="dxa"/>
            <w:tcBorders>
              <w:top w:val="nil"/>
              <w:left w:val="nil"/>
              <w:bottom w:val="single" w:sz="8" w:space="0" w:color="auto"/>
              <w:right w:val="nil"/>
            </w:tcBorders>
            <w:shd w:val="clear" w:color="000000" w:fill="FFFFFF"/>
            <w:noWrap/>
            <w:hideMark/>
          </w:tcPr>
          <w:p w14:paraId="300FC3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single" w:sz="8" w:space="0" w:color="auto"/>
              <w:right w:val="nil"/>
            </w:tcBorders>
            <w:shd w:val="clear" w:color="000000" w:fill="FFFFFF"/>
            <w:noWrap/>
            <w:hideMark/>
          </w:tcPr>
          <w:p w14:paraId="67C9FD9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nil"/>
              <w:left w:val="nil"/>
              <w:bottom w:val="single" w:sz="8" w:space="0" w:color="auto"/>
              <w:right w:val="nil"/>
            </w:tcBorders>
            <w:shd w:val="clear" w:color="000000" w:fill="FFFFFF"/>
            <w:noWrap/>
            <w:hideMark/>
          </w:tcPr>
          <w:p w14:paraId="4B13BDB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r w:rsidR="002E4D99" w:rsidRPr="00367BEC" w14:paraId="677EDFF4" w14:textId="77777777" w:rsidTr="00CF1C1E">
        <w:trPr>
          <w:trHeight w:val="20"/>
        </w:trPr>
        <w:tc>
          <w:tcPr>
            <w:tcW w:w="1196" w:type="dxa"/>
            <w:tcBorders>
              <w:top w:val="single" w:sz="8" w:space="0" w:color="auto"/>
              <w:left w:val="nil"/>
              <w:bottom w:val="single" w:sz="8" w:space="0" w:color="auto"/>
              <w:right w:val="nil"/>
            </w:tcBorders>
            <w:shd w:val="clear" w:color="000000" w:fill="FFFFFF"/>
            <w:hideMark/>
          </w:tcPr>
          <w:p w14:paraId="78DF68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Mercadante 2012</w:t>
            </w:r>
          </w:p>
        </w:tc>
        <w:tc>
          <w:tcPr>
            <w:tcW w:w="676" w:type="dxa"/>
            <w:tcBorders>
              <w:top w:val="single" w:sz="8" w:space="0" w:color="auto"/>
              <w:left w:val="nil"/>
              <w:bottom w:val="single" w:sz="8" w:space="0" w:color="auto"/>
              <w:right w:val="nil"/>
            </w:tcBorders>
            <w:shd w:val="clear" w:color="000000" w:fill="FFFFFF"/>
            <w:noWrap/>
            <w:hideMark/>
          </w:tcPr>
          <w:p w14:paraId="2DC106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Italia</w:t>
            </w:r>
          </w:p>
        </w:tc>
        <w:tc>
          <w:tcPr>
            <w:tcW w:w="628" w:type="dxa"/>
            <w:tcBorders>
              <w:top w:val="single" w:sz="8" w:space="0" w:color="auto"/>
              <w:left w:val="nil"/>
              <w:bottom w:val="single" w:sz="8" w:space="0" w:color="auto"/>
              <w:right w:val="nil"/>
            </w:tcBorders>
            <w:shd w:val="clear" w:color="000000" w:fill="FFFFFF"/>
            <w:noWrap/>
            <w:hideMark/>
          </w:tcPr>
          <w:p w14:paraId="61215F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O/P/C</w:t>
            </w:r>
          </w:p>
        </w:tc>
        <w:tc>
          <w:tcPr>
            <w:tcW w:w="703" w:type="dxa"/>
            <w:tcBorders>
              <w:top w:val="single" w:sz="8" w:space="0" w:color="auto"/>
              <w:left w:val="nil"/>
              <w:bottom w:val="single" w:sz="8" w:space="0" w:color="auto"/>
              <w:right w:val="nil"/>
            </w:tcBorders>
            <w:shd w:val="clear" w:color="000000" w:fill="FFFFFF"/>
            <w:noWrap/>
            <w:hideMark/>
          </w:tcPr>
          <w:p w14:paraId="584DA6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4 </w:t>
            </w:r>
            <w:proofErr w:type="spellStart"/>
            <w:r w:rsidRPr="00367BEC">
              <w:rPr>
                <w:rFonts w:ascii="Times New Roman" w:hAnsi="Times New Roman"/>
                <w:color w:val="000000"/>
                <w:sz w:val="16"/>
              </w:rPr>
              <w:t>sem</w:t>
            </w:r>
            <w:proofErr w:type="spellEnd"/>
          </w:p>
        </w:tc>
        <w:tc>
          <w:tcPr>
            <w:tcW w:w="728" w:type="dxa"/>
            <w:tcBorders>
              <w:top w:val="single" w:sz="8" w:space="0" w:color="auto"/>
              <w:left w:val="nil"/>
              <w:bottom w:val="single" w:sz="8" w:space="0" w:color="auto"/>
              <w:right w:val="nil"/>
            </w:tcBorders>
            <w:shd w:val="clear" w:color="000000" w:fill="FFFFFF"/>
            <w:noWrap/>
            <w:hideMark/>
          </w:tcPr>
          <w:p w14:paraId="35F881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400" w:type="dxa"/>
            <w:tcBorders>
              <w:top w:val="single" w:sz="8" w:space="0" w:color="auto"/>
              <w:left w:val="nil"/>
              <w:bottom w:val="single" w:sz="8" w:space="0" w:color="auto"/>
              <w:right w:val="nil"/>
            </w:tcBorders>
            <w:shd w:val="clear" w:color="000000" w:fill="FFFFFF"/>
            <w:noWrap/>
            <w:hideMark/>
          </w:tcPr>
          <w:p w14:paraId="199448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w:t>
            </w:r>
          </w:p>
        </w:tc>
        <w:tc>
          <w:tcPr>
            <w:tcW w:w="360" w:type="dxa"/>
            <w:tcBorders>
              <w:top w:val="single" w:sz="8" w:space="0" w:color="auto"/>
              <w:left w:val="nil"/>
              <w:bottom w:val="single" w:sz="8" w:space="0" w:color="auto"/>
              <w:right w:val="nil"/>
            </w:tcBorders>
            <w:shd w:val="clear" w:color="000000" w:fill="FFFFFF"/>
            <w:noWrap/>
            <w:hideMark/>
          </w:tcPr>
          <w:p w14:paraId="68A6AC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66,3</w:t>
            </w:r>
          </w:p>
        </w:tc>
        <w:tc>
          <w:tcPr>
            <w:tcW w:w="543" w:type="dxa"/>
            <w:tcBorders>
              <w:top w:val="single" w:sz="8" w:space="0" w:color="auto"/>
              <w:left w:val="nil"/>
              <w:bottom w:val="single" w:sz="8" w:space="0" w:color="auto"/>
              <w:right w:val="nil"/>
            </w:tcBorders>
            <w:shd w:val="clear" w:color="000000" w:fill="FFFFFF"/>
            <w:hideMark/>
          </w:tcPr>
          <w:p w14:paraId="5D33C3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(13,9)</w:t>
            </w:r>
          </w:p>
        </w:tc>
        <w:tc>
          <w:tcPr>
            <w:tcW w:w="538" w:type="dxa"/>
            <w:tcBorders>
              <w:top w:val="single" w:sz="8" w:space="0" w:color="auto"/>
              <w:left w:val="nil"/>
              <w:bottom w:val="single" w:sz="8" w:space="0" w:color="auto"/>
              <w:right w:val="nil"/>
            </w:tcBorders>
            <w:shd w:val="clear" w:color="000000" w:fill="FFFFFF"/>
            <w:noWrap/>
            <w:hideMark/>
          </w:tcPr>
          <w:p w14:paraId="25ED3B8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40,0</w:t>
            </w:r>
          </w:p>
        </w:tc>
        <w:tc>
          <w:tcPr>
            <w:tcW w:w="1325" w:type="dxa"/>
            <w:tcBorders>
              <w:top w:val="single" w:sz="8" w:space="0" w:color="auto"/>
              <w:left w:val="nil"/>
              <w:bottom w:val="single" w:sz="8" w:space="0" w:color="auto"/>
              <w:right w:val="nil"/>
            </w:tcBorders>
            <w:shd w:val="clear" w:color="000000" w:fill="FFFFFF"/>
            <w:noWrap/>
            <w:hideMark/>
          </w:tcPr>
          <w:p w14:paraId="19110F1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Cáncer</w:t>
            </w:r>
          </w:p>
        </w:tc>
        <w:tc>
          <w:tcPr>
            <w:tcW w:w="871" w:type="dxa"/>
            <w:tcBorders>
              <w:top w:val="single" w:sz="8" w:space="0" w:color="auto"/>
              <w:left w:val="nil"/>
              <w:bottom w:val="single" w:sz="8" w:space="0" w:color="auto"/>
              <w:right w:val="nil"/>
            </w:tcBorders>
            <w:shd w:val="clear" w:color="000000" w:fill="FFFFFF"/>
            <w:noWrap/>
            <w:hideMark/>
          </w:tcPr>
          <w:p w14:paraId="3E7BF0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Neuropático</w:t>
            </w:r>
          </w:p>
        </w:tc>
        <w:tc>
          <w:tcPr>
            <w:tcW w:w="360" w:type="dxa"/>
            <w:tcBorders>
              <w:top w:val="single" w:sz="8" w:space="0" w:color="auto"/>
              <w:left w:val="nil"/>
              <w:bottom w:val="single" w:sz="8" w:space="0" w:color="auto"/>
              <w:right w:val="nil"/>
            </w:tcBorders>
            <w:shd w:val="clear" w:color="000000" w:fill="FFFFFF"/>
            <w:noWrap/>
            <w:hideMark/>
          </w:tcPr>
          <w:p w14:paraId="33C217C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38,0</w:t>
            </w:r>
          </w:p>
        </w:tc>
        <w:tc>
          <w:tcPr>
            <w:tcW w:w="872" w:type="dxa"/>
            <w:tcBorders>
              <w:top w:val="single" w:sz="8" w:space="0" w:color="auto"/>
              <w:left w:val="nil"/>
              <w:bottom w:val="single" w:sz="8" w:space="0" w:color="auto"/>
              <w:right w:val="nil"/>
            </w:tcBorders>
            <w:shd w:val="clear" w:color="000000" w:fill="FFFFFF"/>
            <w:noWrap/>
            <w:hideMark/>
          </w:tcPr>
          <w:p w14:paraId="3816F2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(19/50)</w:t>
            </w:r>
          </w:p>
        </w:tc>
        <w:tc>
          <w:tcPr>
            <w:tcW w:w="855" w:type="dxa"/>
            <w:tcBorders>
              <w:top w:val="single" w:sz="8" w:space="0" w:color="auto"/>
              <w:left w:val="nil"/>
              <w:bottom w:val="single" w:sz="8" w:space="0" w:color="auto"/>
              <w:right w:val="nil"/>
            </w:tcBorders>
            <w:shd w:val="clear" w:color="000000" w:fill="FFFFFF"/>
            <w:noWrap/>
            <w:hideMark/>
          </w:tcPr>
          <w:p w14:paraId="637157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60" w:type="dxa"/>
            <w:tcBorders>
              <w:top w:val="single" w:sz="8" w:space="0" w:color="auto"/>
              <w:left w:val="nil"/>
              <w:bottom w:val="single" w:sz="8" w:space="0" w:color="auto"/>
              <w:right w:val="nil"/>
            </w:tcBorders>
            <w:shd w:val="clear" w:color="000000" w:fill="FFFFFF"/>
            <w:noWrap/>
            <w:hideMark/>
          </w:tcPr>
          <w:p w14:paraId="0E479218"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single" w:sz="8" w:space="0" w:color="auto"/>
              <w:left w:val="nil"/>
              <w:bottom w:val="single" w:sz="8" w:space="0" w:color="auto"/>
              <w:right w:val="nil"/>
            </w:tcBorders>
            <w:shd w:val="clear" w:color="000000" w:fill="FFFFFF"/>
            <w:noWrap/>
            <w:hideMark/>
          </w:tcPr>
          <w:p w14:paraId="6ABC5884"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93" w:type="dxa"/>
            <w:tcBorders>
              <w:top w:val="single" w:sz="8" w:space="0" w:color="auto"/>
              <w:left w:val="nil"/>
              <w:bottom w:val="single" w:sz="8" w:space="0" w:color="auto"/>
              <w:right w:val="nil"/>
            </w:tcBorders>
            <w:shd w:val="clear" w:color="000000" w:fill="FFFFFF"/>
            <w:noWrap/>
            <w:hideMark/>
          </w:tcPr>
          <w:p w14:paraId="569CA9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8" w:space="0" w:color="auto"/>
              <w:left w:val="nil"/>
              <w:bottom w:val="single" w:sz="8" w:space="0" w:color="auto"/>
              <w:right w:val="nil"/>
            </w:tcBorders>
            <w:shd w:val="clear" w:color="000000" w:fill="FFFFFF"/>
            <w:noWrap/>
            <w:hideMark/>
          </w:tcPr>
          <w:p w14:paraId="532BF6B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87" w:type="dxa"/>
            <w:gridSpan w:val="2"/>
            <w:tcBorders>
              <w:top w:val="single" w:sz="8" w:space="0" w:color="auto"/>
              <w:left w:val="nil"/>
              <w:bottom w:val="single" w:sz="8" w:space="0" w:color="auto"/>
              <w:right w:val="nil"/>
            </w:tcBorders>
            <w:shd w:val="clear" w:color="000000" w:fill="FFFFFF"/>
            <w:noWrap/>
            <w:hideMark/>
          </w:tcPr>
          <w:p w14:paraId="58A5B0D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r>
    </w:tbl>
    <w:p w14:paraId="09629366" w14:textId="77777777" w:rsidR="002E4D99" w:rsidRPr="00367BEC" w:rsidRDefault="002E4D99" w:rsidP="002E4D99">
      <w:pPr>
        <w:spacing w:after="0" w:line="240" w:lineRule="auto"/>
        <w:ind w:left="-993" w:right="-3401"/>
        <w:jc w:val="both"/>
        <w:rPr>
          <w:rFonts w:ascii="Times New Roman" w:eastAsia="Times New Roman" w:hAnsi="Times New Roman" w:cs="Times New Roman"/>
          <w:b/>
          <w:bCs/>
          <w:color w:val="000000"/>
          <w:sz w:val="16"/>
          <w:szCs w:val="16"/>
          <w:lang w:eastAsia="es-ES"/>
        </w:rPr>
      </w:pPr>
    </w:p>
    <w:p w14:paraId="25BD57EB" w14:textId="3FD437CB" w:rsidR="002E4D99" w:rsidRPr="00367BEC" w:rsidRDefault="002E4D99" w:rsidP="002E4D99">
      <w:pPr>
        <w:spacing w:after="0" w:line="240" w:lineRule="auto"/>
        <w:ind w:right="-2755"/>
        <w:jc w:val="both"/>
        <w:rPr>
          <w:rFonts w:ascii="Times New Roman" w:hAnsi="Times New Roman" w:cs="Times New Roman"/>
          <w:b/>
          <w:sz w:val="24"/>
          <w:szCs w:val="24"/>
        </w:rPr>
      </w:pPr>
      <w:r w:rsidRPr="00367BEC">
        <w:rPr>
          <w:rFonts w:ascii="Times New Roman" w:hAnsi="Times New Roman"/>
          <w:b/>
          <w:color w:val="000000"/>
          <w:sz w:val="16"/>
        </w:rPr>
        <w:lastRenderedPageBreak/>
        <w:t xml:space="preserve">Abreviaturas: </w:t>
      </w:r>
      <w:r w:rsidRPr="00367BEC">
        <w:rPr>
          <w:rFonts w:ascii="Times New Roman" w:hAnsi="Times New Roman"/>
          <w:color w:val="000000"/>
          <w:sz w:val="16"/>
        </w:rPr>
        <w:t>DOR (dorsalgia), C (cohorte), EPOC (enfermedad pulmonar obstructiva crónica), SC (serie de casos), ECV (enfermedad cardiovascular), IVC (insuficiencia venosa crónica), DM (diabetes mellitus), CI (cardiopatía isquémica), LUM (lumbalgia), H (hombres), m (mes), ME (musculoesquelético), DC (dolor cervical), O (observacional), OXN (oxicodona/naloxona), P (prospectivo), PR (</w:t>
      </w:r>
      <w:r w:rsidR="00784720">
        <w:rPr>
          <w:rFonts w:ascii="Times New Roman" w:hAnsi="Times New Roman"/>
          <w:color w:val="000000"/>
          <w:sz w:val="16"/>
        </w:rPr>
        <w:t>liberación prolongada</w:t>
      </w:r>
      <w:r w:rsidRPr="00367BEC">
        <w:rPr>
          <w:rFonts w:ascii="Times New Roman" w:hAnsi="Times New Roman"/>
          <w:color w:val="000000"/>
          <w:sz w:val="16"/>
        </w:rPr>
        <w:t xml:space="preserve">), R (retrospectivo), TAP (tapentadol), TRA (tramadol), </w:t>
      </w:r>
      <w:proofErr w:type="spellStart"/>
      <w:r w:rsidRPr="00367BEC">
        <w:rPr>
          <w:rFonts w:ascii="Times New Roman" w:hAnsi="Times New Roman"/>
          <w:color w:val="000000"/>
          <w:sz w:val="16"/>
        </w:rPr>
        <w:t>um</w:t>
      </w:r>
      <w:proofErr w:type="spellEnd"/>
      <w:r w:rsidRPr="00367BEC">
        <w:rPr>
          <w:rFonts w:ascii="Times New Roman" w:hAnsi="Times New Roman"/>
          <w:color w:val="000000"/>
          <w:sz w:val="16"/>
        </w:rPr>
        <w:t>-PEA (</w:t>
      </w:r>
      <w:proofErr w:type="spellStart"/>
      <w:r w:rsidRPr="00367BEC">
        <w:rPr>
          <w:rFonts w:ascii="Times New Roman" w:hAnsi="Times New Roman"/>
          <w:color w:val="000000"/>
          <w:sz w:val="16"/>
        </w:rPr>
        <w:t>palmitoiletanolamida</w:t>
      </w:r>
      <w:proofErr w:type="spellEnd"/>
      <w:r w:rsidRPr="00367BEC">
        <w:rPr>
          <w:rFonts w:ascii="Times New Roman" w:hAnsi="Times New Roman"/>
          <w:color w:val="000000"/>
          <w:sz w:val="16"/>
        </w:rPr>
        <w:t xml:space="preserve"> </w:t>
      </w:r>
      <w:proofErr w:type="spellStart"/>
      <w:r w:rsidRPr="00367BEC">
        <w:rPr>
          <w:rFonts w:ascii="Times New Roman" w:hAnsi="Times New Roman"/>
          <w:color w:val="000000"/>
          <w:sz w:val="16"/>
        </w:rPr>
        <w:t>ultramicronizada</w:t>
      </w:r>
      <w:proofErr w:type="spellEnd"/>
      <w:r w:rsidRPr="00367BEC">
        <w:rPr>
          <w:rFonts w:ascii="Times New Roman" w:hAnsi="Times New Roman"/>
          <w:color w:val="000000"/>
          <w:sz w:val="16"/>
        </w:rPr>
        <w:t xml:space="preserve">), FAV (fractura por aplastamiento vertebral), </w:t>
      </w:r>
      <w:proofErr w:type="spellStart"/>
      <w:r w:rsidRPr="00367BEC">
        <w:rPr>
          <w:rFonts w:ascii="Times New Roman" w:hAnsi="Times New Roman"/>
          <w:color w:val="000000"/>
          <w:sz w:val="16"/>
        </w:rPr>
        <w:t>sem</w:t>
      </w:r>
      <w:proofErr w:type="spellEnd"/>
      <w:r w:rsidRPr="00367BEC">
        <w:rPr>
          <w:rFonts w:ascii="Times New Roman" w:hAnsi="Times New Roman"/>
          <w:color w:val="000000"/>
          <w:sz w:val="16"/>
        </w:rPr>
        <w:t xml:space="preserve"> (semana), a (año); </w:t>
      </w:r>
      <w:r w:rsidRPr="00367BEC">
        <w:rPr>
          <w:rFonts w:ascii="Times New Roman" w:hAnsi="Times New Roman"/>
          <w:b/>
          <w:color w:val="000000"/>
          <w:sz w:val="20"/>
          <w:vertAlign w:val="superscript"/>
        </w:rPr>
        <w:t xml:space="preserve">a </w:t>
      </w:r>
      <w:r w:rsidRPr="00367BEC">
        <w:rPr>
          <w:rFonts w:ascii="Times New Roman" w:hAnsi="Times New Roman"/>
          <w:color w:val="000000"/>
          <w:sz w:val="16"/>
        </w:rPr>
        <w:t xml:space="preserve">cohorte con el 68,8 % en tratamiento con tramadol, </w:t>
      </w:r>
      <w:r w:rsidRPr="00367BEC">
        <w:rPr>
          <w:rFonts w:ascii="Times New Roman" w:hAnsi="Times New Roman"/>
          <w:b/>
          <w:color w:val="000000"/>
          <w:sz w:val="20"/>
          <w:vertAlign w:val="superscript"/>
        </w:rPr>
        <w:t>b</w:t>
      </w:r>
      <w:r w:rsidRPr="00367BEC">
        <w:rPr>
          <w:rFonts w:ascii="Times New Roman" w:hAnsi="Times New Roman"/>
          <w:color w:val="000000"/>
          <w:sz w:val="16"/>
        </w:rPr>
        <w:t xml:space="preserve"> cohorte con tratamiento previo con opioides potentes; los datos representan la media (DE) o la mediana [</w:t>
      </w:r>
      <w:r w:rsidR="003C66E0">
        <w:rPr>
          <w:rFonts w:ascii="Times New Roman" w:hAnsi="Times New Roman"/>
          <w:color w:val="000000"/>
          <w:sz w:val="16"/>
        </w:rPr>
        <w:t>R</w:t>
      </w:r>
      <w:r w:rsidR="003C66E0" w:rsidRPr="00367BEC">
        <w:rPr>
          <w:rFonts w:ascii="Times New Roman" w:hAnsi="Times New Roman"/>
          <w:color w:val="000000"/>
          <w:sz w:val="16"/>
        </w:rPr>
        <w:t>IC</w:t>
      </w:r>
      <w:r w:rsidRPr="00367BEC">
        <w:rPr>
          <w:rFonts w:ascii="Times New Roman" w:hAnsi="Times New Roman"/>
          <w:color w:val="000000"/>
          <w:sz w:val="16"/>
        </w:rPr>
        <w:t xml:space="preserve">] a menos que se indique lo contrario; los números en </w:t>
      </w:r>
      <w:r w:rsidRPr="00367BEC">
        <w:rPr>
          <w:rFonts w:ascii="Times New Roman" w:hAnsi="Times New Roman"/>
          <w:i/>
          <w:color w:val="000000"/>
          <w:sz w:val="16"/>
        </w:rPr>
        <w:t>cursiva</w:t>
      </w:r>
      <w:r w:rsidRPr="00367BEC">
        <w:rPr>
          <w:rFonts w:ascii="Times New Roman" w:hAnsi="Times New Roman"/>
          <w:color w:val="000000"/>
          <w:sz w:val="16"/>
        </w:rPr>
        <w:t xml:space="preserve"> se han estimado a partir de datos proporcionados en el manuscrito;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r w:rsidRPr="00367BEC">
        <w:rPr>
          <w:rFonts w:ascii="Times New Roman" w:hAnsi="Times New Roman"/>
          <w:b/>
          <w:color w:val="000000"/>
          <w:sz w:val="16"/>
          <w:vertAlign w:val="superscript"/>
        </w:rPr>
        <w:t>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bookmarkStart w:id="8" w:name="_Hlk15975315"/>
      <w:r w:rsidRPr="00367BEC">
        <w:rPr>
          <w:rFonts w:ascii="Times New Roman" w:hAnsi="Times New Roman"/>
          <w:b/>
          <w:color w:val="000000"/>
          <w:sz w:val="16"/>
          <w:vertAlign w:val="superscript"/>
        </w:rPr>
        <w:t>I</w:t>
      </w:r>
      <w:bookmarkEnd w:id="8"/>
      <w:r w:rsidRPr="00367BEC">
        <w:rPr>
          <w:rFonts w:ascii="Times New Roman" w:hAnsi="Times New Roman"/>
          <w:b/>
          <w:color w:val="000000"/>
          <w:sz w:val="16"/>
          <w:vertAlign w:val="superscript"/>
        </w:rPr>
        <w:t>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&lt; 0,001).</w:t>
      </w:r>
    </w:p>
    <w:p w14:paraId="6BE29E1F" w14:textId="77777777" w:rsidR="002E4D99" w:rsidRPr="00367BEC" w:rsidRDefault="002E4D99" w:rsidP="002E4D99">
      <w:pPr>
        <w:rPr>
          <w:rFonts w:ascii="Times New Roman" w:hAnsi="Times New Roman" w:cs="Times New Roman"/>
          <w:b/>
          <w:sz w:val="24"/>
          <w:szCs w:val="24"/>
        </w:rPr>
      </w:pPr>
      <w:r w:rsidRPr="00367BEC">
        <w:br w:type="page"/>
      </w:r>
    </w:p>
    <w:p w14:paraId="6FD8FD9A"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2. </w:t>
      </w:r>
      <w:r w:rsidRPr="00367BEC">
        <w:rPr>
          <w:rFonts w:ascii="Times New Roman" w:hAnsi="Times New Roman"/>
        </w:rPr>
        <w:t>Descripción de la intervención con tapentadol en cada estudio</w:t>
      </w:r>
    </w:p>
    <w:p w14:paraId="7285DDFA"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12277" w:type="dxa"/>
        <w:tblCellMar>
          <w:left w:w="28" w:type="dxa"/>
          <w:right w:w="28" w:type="dxa"/>
        </w:tblCellMar>
        <w:tblLook w:val="04A0" w:firstRow="1" w:lastRow="0" w:firstColumn="1" w:lastColumn="0" w:noHBand="0" w:noVBand="1"/>
      </w:tblPr>
      <w:tblGrid>
        <w:gridCol w:w="1292"/>
        <w:gridCol w:w="1225"/>
        <w:gridCol w:w="451"/>
        <w:gridCol w:w="1060"/>
        <w:gridCol w:w="416"/>
        <w:gridCol w:w="1096"/>
        <w:gridCol w:w="479"/>
        <w:gridCol w:w="1105"/>
        <w:gridCol w:w="504"/>
        <w:gridCol w:w="681"/>
        <w:gridCol w:w="376"/>
        <w:gridCol w:w="904"/>
        <w:gridCol w:w="1221"/>
        <w:gridCol w:w="1467"/>
      </w:tblGrid>
      <w:tr w:rsidR="002E4D99" w:rsidRPr="00367BEC" w14:paraId="48C11575" w14:textId="77777777" w:rsidTr="00CF1C1E">
        <w:trPr>
          <w:trHeight w:val="283"/>
        </w:trPr>
        <w:tc>
          <w:tcPr>
            <w:tcW w:w="1292" w:type="dxa"/>
            <w:tcBorders>
              <w:top w:val="nil"/>
              <w:left w:val="nil"/>
              <w:bottom w:val="single" w:sz="8" w:space="0" w:color="auto"/>
              <w:right w:val="nil"/>
            </w:tcBorders>
            <w:shd w:val="clear" w:color="000000" w:fill="FFFFFF"/>
            <w:noWrap/>
            <w:vAlign w:val="center"/>
            <w:hideMark/>
          </w:tcPr>
          <w:p w14:paraId="14A1A25B"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Referencia</w:t>
            </w:r>
          </w:p>
        </w:tc>
        <w:tc>
          <w:tcPr>
            <w:tcW w:w="1225" w:type="dxa"/>
            <w:tcBorders>
              <w:top w:val="nil"/>
              <w:left w:val="nil"/>
              <w:bottom w:val="single" w:sz="8" w:space="0" w:color="auto"/>
              <w:right w:val="nil"/>
            </w:tcBorders>
            <w:shd w:val="clear" w:color="000000" w:fill="FFFFFF"/>
            <w:noWrap/>
            <w:vAlign w:val="center"/>
            <w:hideMark/>
          </w:tcPr>
          <w:p w14:paraId="17DE2B2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Cohorte</w:t>
            </w:r>
          </w:p>
        </w:tc>
        <w:tc>
          <w:tcPr>
            <w:tcW w:w="1511" w:type="dxa"/>
            <w:gridSpan w:val="2"/>
            <w:tcBorders>
              <w:top w:val="nil"/>
              <w:left w:val="nil"/>
              <w:bottom w:val="single" w:sz="8" w:space="0" w:color="auto"/>
              <w:right w:val="nil"/>
            </w:tcBorders>
            <w:shd w:val="clear" w:color="000000" w:fill="FFFFFF"/>
            <w:noWrap/>
            <w:vAlign w:val="center"/>
            <w:hideMark/>
          </w:tcPr>
          <w:p w14:paraId="4129D2C1"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Dosis inicial (mg/d)</w:t>
            </w:r>
          </w:p>
        </w:tc>
        <w:tc>
          <w:tcPr>
            <w:tcW w:w="416" w:type="dxa"/>
            <w:tcBorders>
              <w:top w:val="nil"/>
              <w:left w:val="nil"/>
              <w:bottom w:val="single" w:sz="8" w:space="0" w:color="auto"/>
              <w:right w:val="nil"/>
            </w:tcBorders>
            <w:shd w:val="clear" w:color="000000" w:fill="FFFFFF"/>
            <w:noWrap/>
            <w:vAlign w:val="center"/>
            <w:hideMark/>
          </w:tcPr>
          <w:p w14:paraId="7C87054F"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w:t>
            </w:r>
          </w:p>
        </w:tc>
        <w:tc>
          <w:tcPr>
            <w:tcW w:w="1096" w:type="dxa"/>
            <w:tcBorders>
              <w:top w:val="nil"/>
              <w:left w:val="nil"/>
              <w:bottom w:val="single" w:sz="8" w:space="0" w:color="auto"/>
              <w:right w:val="nil"/>
            </w:tcBorders>
            <w:shd w:val="clear" w:color="000000" w:fill="FFFFFF"/>
            <w:noWrap/>
            <w:vAlign w:val="center"/>
            <w:hideMark/>
          </w:tcPr>
          <w:p w14:paraId="62E3A7AD"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1584" w:type="dxa"/>
            <w:gridSpan w:val="2"/>
            <w:tcBorders>
              <w:top w:val="nil"/>
              <w:left w:val="nil"/>
              <w:bottom w:val="single" w:sz="8" w:space="0" w:color="auto"/>
              <w:right w:val="nil"/>
            </w:tcBorders>
            <w:shd w:val="clear" w:color="000000" w:fill="FFFFFF"/>
            <w:noWrap/>
            <w:vAlign w:val="center"/>
            <w:hideMark/>
          </w:tcPr>
          <w:p w14:paraId="52A47AFA"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Dosis ajustada (mg/d)</w:t>
            </w:r>
          </w:p>
        </w:tc>
        <w:tc>
          <w:tcPr>
            <w:tcW w:w="1185" w:type="dxa"/>
            <w:gridSpan w:val="2"/>
            <w:tcBorders>
              <w:top w:val="nil"/>
              <w:left w:val="nil"/>
              <w:bottom w:val="single" w:sz="8" w:space="0" w:color="auto"/>
              <w:right w:val="nil"/>
            </w:tcBorders>
            <w:shd w:val="clear" w:color="000000" w:fill="FFFFFF"/>
            <w:noWrap/>
            <w:vAlign w:val="center"/>
            <w:hideMark/>
          </w:tcPr>
          <w:p w14:paraId="0B0EAE9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Dosis final (mg/d)</w:t>
            </w:r>
          </w:p>
        </w:tc>
        <w:tc>
          <w:tcPr>
            <w:tcW w:w="376" w:type="dxa"/>
            <w:tcBorders>
              <w:top w:val="nil"/>
              <w:left w:val="nil"/>
              <w:bottom w:val="single" w:sz="8" w:space="0" w:color="auto"/>
              <w:right w:val="nil"/>
            </w:tcBorders>
            <w:shd w:val="clear" w:color="000000" w:fill="FFFFFF"/>
            <w:noWrap/>
            <w:vAlign w:val="center"/>
            <w:hideMark/>
          </w:tcPr>
          <w:p w14:paraId="4D4C0A81"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w:t>
            </w:r>
          </w:p>
        </w:tc>
        <w:tc>
          <w:tcPr>
            <w:tcW w:w="904" w:type="dxa"/>
            <w:tcBorders>
              <w:top w:val="nil"/>
              <w:left w:val="nil"/>
              <w:bottom w:val="single" w:sz="8" w:space="0" w:color="auto"/>
              <w:right w:val="nil"/>
            </w:tcBorders>
            <w:shd w:val="clear" w:color="000000" w:fill="FFFFFF"/>
            <w:noWrap/>
            <w:vAlign w:val="center"/>
            <w:hideMark/>
          </w:tcPr>
          <w:p w14:paraId="793BCD2D"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1221" w:type="dxa"/>
            <w:tcBorders>
              <w:top w:val="nil"/>
              <w:left w:val="nil"/>
              <w:bottom w:val="single" w:sz="8" w:space="0" w:color="auto"/>
              <w:right w:val="nil"/>
            </w:tcBorders>
            <w:shd w:val="clear" w:color="000000" w:fill="FFFFFF"/>
            <w:vAlign w:val="center"/>
            <w:hideMark/>
          </w:tcPr>
          <w:p w14:paraId="063B4125"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absoluto</w:t>
            </w:r>
          </w:p>
        </w:tc>
        <w:tc>
          <w:tcPr>
            <w:tcW w:w="1467" w:type="dxa"/>
            <w:tcBorders>
              <w:top w:val="nil"/>
              <w:left w:val="nil"/>
              <w:bottom w:val="single" w:sz="8" w:space="0" w:color="auto"/>
              <w:right w:val="nil"/>
            </w:tcBorders>
            <w:shd w:val="clear" w:color="000000" w:fill="FFFFFF"/>
            <w:vAlign w:val="center"/>
            <w:hideMark/>
          </w:tcPr>
          <w:p w14:paraId="2A3EDD6B"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relativo (%)</w:t>
            </w:r>
          </w:p>
        </w:tc>
      </w:tr>
      <w:tr w:rsidR="002E4D99" w:rsidRPr="00367BEC" w14:paraId="354B0078" w14:textId="77777777" w:rsidTr="00CF1C1E">
        <w:trPr>
          <w:trHeight w:val="20"/>
        </w:trPr>
        <w:tc>
          <w:tcPr>
            <w:tcW w:w="1292" w:type="dxa"/>
            <w:tcBorders>
              <w:top w:val="nil"/>
              <w:left w:val="nil"/>
              <w:bottom w:val="nil"/>
              <w:right w:val="nil"/>
            </w:tcBorders>
            <w:shd w:val="clear" w:color="000000" w:fill="FFFFFF"/>
            <w:noWrap/>
            <w:hideMark/>
          </w:tcPr>
          <w:p w14:paraId="3260FD3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Finco 2018</w:t>
            </w:r>
          </w:p>
        </w:tc>
        <w:tc>
          <w:tcPr>
            <w:tcW w:w="1225" w:type="dxa"/>
            <w:tcBorders>
              <w:top w:val="nil"/>
              <w:left w:val="nil"/>
              <w:bottom w:val="nil"/>
              <w:right w:val="nil"/>
            </w:tcBorders>
            <w:shd w:val="clear" w:color="000000" w:fill="FFFFFF"/>
            <w:noWrap/>
            <w:hideMark/>
          </w:tcPr>
          <w:p w14:paraId="4DDE63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11" w:type="dxa"/>
            <w:gridSpan w:val="2"/>
            <w:tcBorders>
              <w:top w:val="single" w:sz="8" w:space="0" w:color="auto"/>
              <w:left w:val="nil"/>
              <w:bottom w:val="single" w:sz="8" w:space="0" w:color="auto"/>
              <w:right w:val="nil"/>
            </w:tcBorders>
            <w:shd w:val="clear" w:color="000000" w:fill="FFFFFF"/>
            <w:noWrap/>
            <w:hideMark/>
          </w:tcPr>
          <w:p w14:paraId="679239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50,0</w:t>
            </w:r>
          </w:p>
        </w:tc>
        <w:tc>
          <w:tcPr>
            <w:tcW w:w="416" w:type="dxa"/>
            <w:tcBorders>
              <w:top w:val="nil"/>
              <w:left w:val="nil"/>
              <w:bottom w:val="nil"/>
              <w:right w:val="nil"/>
            </w:tcBorders>
            <w:shd w:val="clear" w:color="000000" w:fill="FFFFFF"/>
            <w:noWrap/>
            <w:hideMark/>
          </w:tcPr>
          <w:p w14:paraId="6FC55B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nil"/>
              <w:left w:val="nil"/>
              <w:bottom w:val="nil"/>
              <w:right w:val="nil"/>
            </w:tcBorders>
            <w:shd w:val="clear" w:color="000000" w:fill="FFFFFF"/>
            <w:noWrap/>
            <w:hideMark/>
          </w:tcPr>
          <w:p w14:paraId="015B75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(27/27)</w:t>
            </w:r>
          </w:p>
        </w:tc>
        <w:tc>
          <w:tcPr>
            <w:tcW w:w="479" w:type="dxa"/>
            <w:tcBorders>
              <w:top w:val="nil"/>
              <w:left w:val="nil"/>
              <w:bottom w:val="nil"/>
              <w:right w:val="nil"/>
            </w:tcBorders>
            <w:shd w:val="clear" w:color="000000" w:fill="FFFFFF"/>
            <w:noWrap/>
            <w:hideMark/>
          </w:tcPr>
          <w:p w14:paraId="2CAF3F3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5A192F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nil"/>
              <w:right w:val="nil"/>
            </w:tcBorders>
            <w:shd w:val="clear" w:color="000000" w:fill="FFFFFF"/>
            <w:noWrap/>
            <w:hideMark/>
          </w:tcPr>
          <w:p w14:paraId="132EAD5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285,2</w:t>
            </w:r>
          </w:p>
        </w:tc>
        <w:tc>
          <w:tcPr>
            <w:tcW w:w="681" w:type="dxa"/>
            <w:tcBorders>
              <w:top w:val="nil"/>
              <w:left w:val="nil"/>
              <w:bottom w:val="nil"/>
              <w:right w:val="nil"/>
            </w:tcBorders>
            <w:shd w:val="clear" w:color="000000" w:fill="FFFFFF"/>
            <w:noWrap/>
            <w:hideMark/>
          </w:tcPr>
          <w:p w14:paraId="00BC0F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(123,9)</w:t>
            </w:r>
          </w:p>
        </w:tc>
        <w:tc>
          <w:tcPr>
            <w:tcW w:w="376" w:type="dxa"/>
            <w:tcBorders>
              <w:top w:val="nil"/>
              <w:left w:val="nil"/>
              <w:bottom w:val="nil"/>
              <w:right w:val="nil"/>
            </w:tcBorders>
            <w:shd w:val="clear" w:color="000000" w:fill="FFFFFF"/>
            <w:noWrap/>
            <w:hideMark/>
          </w:tcPr>
          <w:p w14:paraId="49B47D2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nil"/>
              <w:left w:val="nil"/>
              <w:bottom w:val="nil"/>
              <w:right w:val="nil"/>
            </w:tcBorders>
            <w:shd w:val="clear" w:color="000000" w:fill="FFFFFF"/>
            <w:noWrap/>
            <w:hideMark/>
          </w:tcPr>
          <w:p w14:paraId="2C333E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(16/16)</w:t>
            </w:r>
          </w:p>
        </w:tc>
        <w:tc>
          <w:tcPr>
            <w:tcW w:w="1221" w:type="dxa"/>
            <w:tcBorders>
              <w:top w:val="nil"/>
              <w:left w:val="nil"/>
              <w:bottom w:val="nil"/>
              <w:right w:val="nil"/>
            </w:tcBorders>
            <w:shd w:val="clear" w:color="000000" w:fill="FFFFFF"/>
            <w:noWrap/>
            <w:hideMark/>
          </w:tcPr>
          <w:p w14:paraId="44EDE1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noWrap/>
            <w:hideMark/>
          </w:tcPr>
          <w:p w14:paraId="7500A8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33369FC" w14:textId="77777777" w:rsidTr="00CF1C1E">
        <w:trPr>
          <w:trHeight w:val="20"/>
        </w:trPr>
        <w:tc>
          <w:tcPr>
            <w:tcW w:w="1292" w:type="dxa"/>
            <w:tcBorders>
              <w:top w:val="single" w:sz="8" w:space="0" w:color="auto"/>
              <w:left w:val="nil"/>
              <w:bottom w:val="nil"/>
              <w:right w:val="nil"/>
            </w:tcBorders>
            <w:shd w:val="clear" w:color="000000" w:fill="FFFFFF"/>
            <w:noWrap/>
            <w:hideMark/>
          </w:tcPr>
          <w:p w14:paraId="195DDA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Billeci</w:t>
            </w:r>
            <w:proofErr w:type="spellEnd"/>
            <w:r w:rsidRPr="00367BEC">
              <w:rPr>
                <w:rFonts w:ascii="Times New Roman" w:hAnsi="Times New Roman"/>
                <w:color w:val="000000"/>
                <w:sz w:val="16"/>
              </w:rPr>
              <w:t xml:space="preserve"> 2017</w:t>
            </w:r>
          </w:p>
        </w:tc>
        <w:tc>
          <w:tcPr>
            <w:tcW w:w="1225" w:type="dxa"/>
            <w:tcBorders>
              <w:top w:val="single" w:sz="8" w:space="0" w:color="auto"/>
              <w:left w:val="nil"/>
              <w:bottom w:val="nil"/>
              <w:right w:val="nil"/>
            </w:tcBorders>
            <w:shd w:val="clear" w:color="000000" w:fill="FFFFFF"/>
            <w:noWrap/>
            <w:hideMark/>
          </w:tcPr>
          <w:p w14:paraId="40954C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11" w:type="dxa"/>
            <w:gridSpan w:val="2"/>
            <w:tcBorders>
              <w:top w:val="single" w:sz="8" w:space="0" w:color="auto"/>
              <w:left w:val="nil"/>
              <w:bottom w:val="single" w:sz="8" w:space="0" w:color="auto"/>
              <w:right w:val="nil"/>
            </w:tcBorders>
            <w:shd w:val="clear" w:color="000000" w:fill="FFFFFF"/>
            <w:noWrap/>
            <w:hideMark/>
          </w:tcPr>
          <w:p w14:paraId="3A9934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100,0</w:t>
            </w:r>
          </w:p>
        </w:tc>
        <w:tc>
          <w:tcPr>
            <w:tcW w:w="416" w:type="dxa"/>
            <w:tcBorders>
              <w:top w:val="single" w:sz="8" w:space="0" w:color="auto"/>
              <w:left w:val="nil"/>
              <w:bottom w:val="nil"/>
              <w:right w:val="nil"/>
            </w:tcBorders>
            <w:shd w:val="clear" w:color="000000" w:fill="FFFFFF"/>
            <w:noWrap/>
            <w:hideMark/>
          </w:tcPr>
          <w:p w14:paraId="22836C8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8" w:space="0" w:color="auto"/>
              <w:left w:val="nil"/>
              <w:bottom w:val="nil"/>
              <w:right w:val="nil"/>
            </w:tcBorders>
            <w:shd w:val="clear" w:color="000000" w:fill="FFFFFF"/>
            <w:noWrap/>
            <w:hideMark/>
          </w:tcPr>
          <w:p w14:paraId="26E86C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(54/54)</w:t>
            </w:r>
          </w:p>
        </w:tc>
        <w:tc>
          <w:tcPr>
            <w:tcW w:w="479" w:type="dxa"/>
            <w:tcBorders>
              <w:top w:val="single" w:sz="8" w:space="0" w:color="auto"/>
              <w:left w:val="nil"/>
              <w:bottom w:val="nil"/>
              <w:right w:val="nil"/>
            </w:tcBorders>
            <w:shd w:val="clear" w:color="000000" w:fill="FFFFFF"/>
            <w:noWrap/>
            <w:hideMark/>
          </w:tcPr>
          <w:p w14:paraId="3D93D6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8" w:space="0" w:color="auto"/>
              <w:left w:val="nil"/>
              <w:bottom w:val="nil"/>
              <w:right w:val="nil"/>
            </w:tcBorders>
            <w:shd w:val="clear" w:color="000000" w:fill="FFFFFF"/>
            <w:noWrap/>
            <w:hideMark/>
          </w:tcPr>
          <w:p w14:paraId="6B951A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8" w:space="0" w:color="auto"/>
              <w:left w:val="nil"/>
              <w:bottom w:val="nil"/>
              <w:right w:val="nil"/>
            </w:tcBorders>
            <w:shd w:val="clear" w:color="000000" w:fill="FFFFFF"/>
            <w:noWrap/>
            <w:hideMark/>
          </w:tcPr>
          <w:p w14:paraId="5229DF4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204,5</w:t>
            </w:r>
          </w:p>
        </w:tc>
        <w:tc>
          <w:tcPr>
            <w:tcW w:w="681" w:type="dxa"/>
            <w:tcBorders>
              <w:top w:val="single" w:sz="8" w:space="0" w:color="auto"/>
              <w:left w:val="nil"/>
              <w:bottom w:val="nil"/>
              <w:right w:val="nil"/>
            </w:tcBorders>
            <w:shd w:val="clear" w:color="000000" w:fill="FFFFFF"/>
            <w:noWrap/>
            <w:hideMark/>
          </w:tcPr>
          <w:p w14:paraId="2B67B1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(102,8)</w:t>
            </w:r>
          </w:p>
        </w:tc>
        <w:tc>
          <w:tcPr>
            <w:tcW w:w="376" w:type="dxa"/>
            <w:tcBorders>
              <w:top w:val="single" w:sz="8" w:space="0" w:color="auto"/>
              <w:left w:val="nil"/>
              <w:bottom w:val="nil"/>
              <w:right w:val="nil"/>
            </w:tcBorders>
            <w:shd w:val="clear" w:color="000000" w:fill="FFFFFF"/>
            <w:noWrap/>
            <w:hideMark/>
          </w:tcPr>
          <w:p w14:paraId="4410C4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8" w:space="0" w:color="auto"/>
              <w:left w:val="nil"/>
              <w:bottom w:val="nil"/>
              <w:right w:val="nil"/>
            </w:tcBorders>
            <w:shd w:val="clear" w:color="000000" w:fill="FFFFFF"/>
            <w:noWrap/>
            <w:hideMark/>
          </w:tcPr>
          <w:p w14:paraId="5243D6C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(44/44)</w:t>
            </w:r>
          </w:p>
        </w:tc>
        <w:tc>
          <w:tcPr>
            <w:tcW w:w="1221" w:type="dxa"/>
            <w:tcBorders>
              <w:top w:val="single" w:sz="8" w:space="0" w:color="auto"/>
              <w:left w:val="nil"/>
              <w:bottom w:val="nil"/>
              <w:right w:val="nil"/>
            </w:tcBorders>
            <w:shd w:val="clear" w:color="000000" w:fill="FFFFFF"/>
            <w:noWrap/>
            <w:hideMark/>
          </w:tcPr>
          <w:p w14:paraId="0F9392F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104,5</w:t>
            </w:r>
          </w:p>
        </w:tc>
        <w:tc>
          <w:tcPr>
            <w:tcW w:w="1467" w:type="dxa"/>
            <w:tcBorders>
              <w:top w:val="single" w:sz="8" w:space="0" w:color="auto"/>
              <w:left w:val="nil"/>
              <w:bottom w:val="nil"/>
              <w:right w:val="nil"/>
            </w:tcBorders>
            <w:shd w:val="clear" w:color="000000" w:fill="FFFFFF"/>
            <w:noWrap/>
            <w:hideMark/>
          </w:tcPr>
          <w:p w14:paraId="2B7A058B"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104,5</w:t>
            </w:r>
          </w:p>
        </w:tc>
      </w:tr>
      <w:tr w:rsidR="002E4D99" w:rsidRPr="00367BEC" w14:paraId="2F2A6A9F" w14:textId="77777777" w:rsidTr="00CF1C1E">
        <w:trPr>
          <w:trHeight w:val="20"/>
        </w:trPr>
        <w:tc>
          <w:tcPr>
            <w:tcW w:w="1292" w:type="dxa"/>
            <w:tcBorders>
              <w:top w:val="single" w:sz="8" w:space="0" w:color="auto"/>
              <w:left w:val="nil"/>
              <w:bottom w:val="nil"/>
              <w:right w:val="nil"/>
            </w:tcBorders>
            <w:shd w:val="clear" w:color="000000" w:fill="FFFFFF"/>
            <w:noWrap/>
            <w:hideMark/>
          </w:tcPr>
          <w:p w14:paraId="66759C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Guillen 2017</w:t>
            </w:r>
          </w:p>
        </w:tc>
        <w:tc>
          <w:tcPr>
            <w:tcW w:w="1225" w:type="dxa"/>
            <w:tcBorders>
              <w:top w:val="single" w:sz="8" w:space="0" w:color="auto"/>
              <w:left w:val="nil"/>
              <w:right w:val="nil"/>
            </w:tcBorders>
            <w:shd w:val="clear" w:color="000000" w:fill="FFFFFF"/>
            <w:noWrap/>
            <w:hideMark/>
          </w:tcPr>
          <w:p w14:paraId="490C228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511" w:type="dxa"/>
            <w:gridSpan w:val="2"/>
            <w:tcBorders>
              <w:top w:val="single" w:sz="8" w:space="0" w:color="auto"/>
              <w:left w:val="nil"/>
              <w:right w:val="nil"/>
            </w:tcBorders>
            <w:shd w:val="clear" w:color="000000" w:fill="FFFFFF"/>
            <w:noWrap/>
            <w:hideMark/>
          </w:tcPr>
          <w:p w14:paraId="7196B5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50,0</w:t>
            </w:r>
          </w:p>
        </w:tc>
        <w:tc>
          <w:tcPr>
            <w:tcW w:w="416" w:type="dxa"/>
            <w:tcBorders>
              <w:top w:val="single" w:sz="8" w:space="0" w:color="auto"/>
              <w:left w:val="nil"/>
              <w:right w:val="nil"/>
            </w:tcBorders>
            <w:shd w:val="clear" w:color="000000" w:fill="FFFFFF"/>
            <w:noWrap/>
            <w:hideMark/>
          </w:tcPr>
          <w:p w14:paraId="3DBD920B"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25,3</w:t>
            </w:r>
          </w:p>
        </w:tc>
        <w:tc>
          <w:tcPr>
            <w:tcW w:w="1096" w:type="dxa"/>
            <w:tcBorders>
              <w:top w:val="single" w:sz="8" w:space="0" w:color="auto"/>
              <w:left w:val="nil"/>
              <w:right w:val="nil"/>
            </w:tcBorders>
            <w:shd w:val="clear" w:color="000000" w:fill="FFFFFF"/>
            <w:noWrap/>
            <w:hideMark/>
          </w:tcPr>
          <w:p w14:paraId="2C987F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(23/91)</w:t>
            </w:r>
          </w:p>
        </w:tc>
        <w:tc>
          <w:tcPr>
            <w:tcW w:w="479" w:type="dxa"/>
            <w:tcBorders>
              <w:top w:val="single" w:sz="8" w:space="0" w:color="auto"/>
              <w:left w:val="nil"/>
              <w:right w:val="nil"/>
            </w:tcBorders>
            <w:shd w:val="clear" w:color="000000" w:fill="FFFFFF"/>
            <w:noWrap/>
            <w:hideMark/>
          </w:tcPr>
          <w:p w14:paraId="716B79B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8" w:space="0" w:color="auto"/>
              <w:left w:val="nil"/>
              <w:right w:val="nil"/>
            </w:tcBorders>
            <w:shd w:val="clear" w:color="000000" w:fill="FFFFFF"/>
            <w:noWrap/>
            <w:hideMark/>
          </w:tcPr>
          <w:p w14:paraId="432A56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8" w:space="0" w:color="auto"/>
              <w:left w:val="nil"/>
              <w:right w:val="nil"/>
            </w:tcBorders>
            <w:shd w:val="clear" w:color="000000" w:fill="FFFFFF"/>
            <w:noWrap/>
            <w:hideMark/>
          </w:tcPr>
          <w:p w14:paraId="4A4721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single" w:sz="8" w:space="0" w:color="auto"/>
              <w:left w:val="nil"/>
              <w:right w:val="nil"/>
            </w:tcBorders>
            <w:shd w:val="clear" w:color="000000" w:fill="FFFFFF"/>
            <w:noWrap/>
            <w:hideMark/>
          </w:tcPr>
          <w:p w14:paraId="25E414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single" w:sz="8" w:space="0" w:color="auto"/>
              <w:left w:val="nil"/>
              <w:right w:val="nil"/>
            </w:tcBorders>
            <w:shd w:val="clear" w:color="000000" w:fill="FFFFFF"/>
            <w:noWrap/>
            <w:hideMark/>
          </w:tcPr>
          <w:p w14:paraId="3A001C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single" w:sz="8" w:space="0" w:color="auto"/>
              <w:left w:val="nil"/>
              <w:right w:val="nil"/>
            </w:tcBorders>
            <w:shd w:val="clear" w:color="000000" w:fill="FFFFFF"/>
            <w:noWrap/>
            <w:hideMark/>
          </w:tcPr>
          <w:p w14:paraId="315419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single" w:sz="8" w:space="0" w:color="auto"/>
              <w:left w:val="nil"/>
              <w:right w:val="nil"/>
            </w:tcBorders>
            <w:shd w:val="clear" w:color="000000" w:fill="FFFFFF"/>
            <w:noWrap/>
            <w:hideMark/>
          </w:tcPr>
          <w:p w14:paraId="0268D9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8" w:space="0" w:color="auto"/>
              <w:left w:val="nil"/>
              <w:right w:val="nil"/>
            </w:tcBorders>
            <w:shd w:val="clear" w:color="000000" w:fill="FFFFFF"/>
            <w:noWrap/>
            <w:hideMark/>
          </w:tcPr>
          <w:p w14:paraId="0B71FE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49C0CC8" w14:textId="77777777" w:rsidTr="00CF1C1E">
        <w:trPr>
          <w:trHeight w:val="20"/>
        </w:trPr>
        <w:tc>
          <w:tcPr>
            <w:tcW w:w="1292" w:type="dxa"/>
            <w:tcBorders>
              <w:top w:val="nil"/>
              <w:left w:val="nil"/>
              <w:bottom w:val="nil"/>
              <w:right w:val="nil"/>
            </w:tcBorders>
            <w:shd w:val="clear" w:color="000000" w:fill="FFFFFF"/>
            <w:noWrap/>
            <w:hideMark/>
          </w:tcPr>
          <w:p w14:paraId="094922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nil"/>
              <w:left w:val="nil"/>
              <w:bottom w:val="single" w:sz="4" w:space="0" w:color="D0CECE" w:themeColor="background2" w:themeShade="E6"/>
              <w:right w:val="nil"/>
            </w:tcBorders>
            <w:shd w:val="clear" w:color="000000" w:fill="FFFFFF"/>
            <w:noWrap/>
            <w:hideMark/>
          </w:tcPr>
          <w:p w14:paraId="55C532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11" w:type="dxa"/>
            <w:gridSpan w:val="2"/>
            <w:tcBorders>
              <w:top w:val="nil"/>
              <w:left w:val="nil"/>
              <w:bottom w:val="single" w:sz="4" w:space="0" w:color="D0CECE" w:themeColor="background2" w:themeShade="E6"/>
              <w:right w:val="nil"/>
            </w:tcBorders>
            <w:shd w:val="clear" w:color="000000" w:fill="FFFFFF"/>
            <w:noWrap/>
            <w:hideMark/>
          </w:tcPr>
          <w:p w14:paraId="093E08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100,0</w:t>
            </w:r>
          </w:p>
        </w:tc>
        <w:tc>
          <w:tcPr>
            <w:tcW w:w="416" w:type="dxa"/>
            <w:tcBorders>
              <w:top w:val="nil"/>
              <w:left w:val="nil"/>
              <w:bottom w:val="single" w:sz="4" w:space="0" w:color="D0CECE" w:themeColor="background2" w:themeShade="E6"/>
              <w:right w:val="nil"/>
            </w:tcBorders>
            <w:shd w:val="clear" w:color="000000" w:fill="FFFFFF"/>
            <w:noWrap/>
            <w:hideMark/>
          </w:tcPr>
          <w:p w14:paraId="2BD2D9E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74,7</w:t>
            </w:r>
          </w:p>
        </w:tc>
        <w:tc>
          <w:tcPr>
            <w:tcW w:w="1096" w:type="dxa"/>
            <w:tcBorders>
              <w:top w:val="nil"/>
              <w:left w:val="nil"/>
              <w:bottom w:val="single" w:sz="4" w:space="0" w:color="D0CECE" w:themeColor="background2" w:themeShade="E6"/>
              <w:right w:val="nil"/>
            </w:tcBorders>
            <w:shd w:val="clear" w:color="000000" w:fill="FFFFFF"/>
            <w:noWrap/>
            <w:hideMark/>
          </w:tcPr>
          <w:p w14:paraId="52FE6D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(68/91)</w:t>
            </w:r>
          </w:p>
        </w:tc>
        <w:tc>
          <w:tcPr>
            <w:tcW w:w="479" w:type="dxa"/>
            <w:tcBorders>
              <w:top w:val="nil"/>
              <w:left w:val="nil"/>
              <w:bottom w:val="single" w:sz="4" w:space="0" w:color="D0CECE" w:themeColor="background2" w:themeShade="E6"/>
              <w:right w:val="nil"/>
            </w:tcBorders>
            <w:shd w:val="clear" w:color="000000" w:fill="FFFFFF"/>
            <w:noWrap/>
            <w:hideMark/>
          </w:tcPr>
          <w:p w14:paraId="05AD48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4" w:space="0" w:color="D0CECE" w:themeColor="background2" w:themeShade="E6"/>
              <w:right w:val="nil"/>
            </w:tcBorders>
            <w:shd w:val="clear" w:color="000000" w:fill="FFFFFF"/>
            <w:noWrap/>
            <w:hideMark/>
          </w:tcPr>
          <w:p w14:paraId="63BABB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single" w:sz="4" w:space="0" w:color="D0CECE" w:themeColor="background2" w:themeShade="E6"/>
              <w:right w:val="nil"/>
            </w:tcBorders>
            <w:shd w:val="clear" w:color="000000" w:fill="FFFFFF"/>
            <w:noWrap/>
            <w:hideMark/>
          </w:tcPr>
          <w:p w14:paraId="0DC9A2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single" w:sz="4" w:space="0" w:color="D0CECE" w:themeColor="background2" w:themeShade="E6"/>
              <w:right w:val="nil"/>
            </w:tcBorders>
            <w:shd w:val="clear" w:color="000000" w:fill="FFFFFF"/>
            <w:noWrap/>
            <w:hideMark/>
          </w:tcPr>
          <w:p w14:paraId="0B7E76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single" w:sz="4" w:space="0" w:color="D0CECE" w:themeColor="background2" w:themeShade="E6"/>
              <w:right w:val="nil"/>
            </w:tcBorders>
            <w:shd w:val="clear" w:color="000000" w:fill="FFFFFF"/>
            <w:noWrap/>
            <w:hideMark/>
          </w:tcPr>
          <w:p w14:paraId="0D9464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single" w:sz="4" w:space="0" w:color="D0CECE" w:themeColor="background2" w:themeShade="E6"/>
              <w:right w:val="nil"/>
            </w:tcBorders>
            <w:shd w:val="clear" w:color="000000" w:fill="FFFFFF"/>
            <w:noWrap/>
            <w:hideMark/>
          </w:tcPr>
          <w:p w14:paraId="10D469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single" w:sz="4" w:space="0" w:color="D0CECE" w:themeColor="background2" w:themeShade="E6"/>
              <w:right w:val="nil"/>
            </w:tcBorders>
            <w:shd w:val="clear" w:color="000000" w:fill="FFFFFF"/>
            <w:noWrap/>
            <w:hideMark/>
          </w:tcPr>
          <w:p w14:paraId="3FF026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single" w:sz="4" w:space="0" w:color="D0CECE" w:themeColor="background2" w:themeShade="E6"/>
              <w:right w:val="nil"/>
            </w:tcBorders>
            <w:shd w:val="clear" w:color="000000" w:fill="FFFFFF"/>
            <w:noWrap/>
            <w:hideMark/>
          </w:tcPr>
          <w:p w14:paraId="7AF2831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CD17E48" w14:textId="77777777" w:rsidTr="00CF1C1E">
        <w:trPr>
          <w:trHeight w:val="20"/>
        </w:trPr>
        <w:tc>
          <w:tcPr>
            <w:tcW w:w="1292" w:type="dxa"/>
            <w:tcBorders>
              <w:top w:val="nil"/>
              <w:left w:val="nil"/>
              <w:bottom w:val="nil"/>
              <w:right w:val="nil"/>
            </w:tcBorders>
            <w:shd w:val="clear" w:color="000000" w:fill="FFFFFF"/>
            <w:noWrap/>
            <w:hideMark/>
          </w:tcPr>
          <w:p w14:paraId="31A31F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single" w:sz="4" w:space="0" w:color="D0CECE" w:themeColor="background2" w:themeShade="E6"/>
              <w:left w:val="nil"/>
              <w:bottom w:val="nil"/>
              <w:right w:val="nil"/>
            </w:tcBorders>
            <w:shd w:val="clear" w:color="000000" w:fill="FFFFFF"/>
            <w:noWrap/>
            <w:hideMark/>
          </w:tcPr>
          <w:p w14:paraId="59F12A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TRA</w:t>
            </w:r>
            <w:r w:rsidRPr="00367BEC">
              <w:rPr>
                <w:rFonts w:ascii="Times New Roman" w:hAnsi="Times New Roman"/>
                <w:b/>
                <w:color w:val="000000"/>
                <w:sz w:val="20"/>
                <w:vertAlign w:val="superscript"/>
              </w:rPr>
              <w:t>a</w:t>
            </w:r>
            <w:proofErr w:type="spellEnd"/>
          </w:p>
        </w:tc>
        <w:tc>
          <w:tcPr>
            <w:tcW w:w="1511" w:type="dxa"/>
            <w:gridSpan w:val="2"/>
            <w:tcBorders>
              <w:top w:val="single" w:sz="4" w:space="0" w:color="D0CECE" w:themeColor="background2" w:themeShade="E6"/>
              <w:left w:val="nil"/>
              <w:bottom w:val="nil"/>
              <w:right w:val="nil"/>
            </w:tcBorders>
            <w:shd w:val="clear" w:color="000000" w:fill="FFFFFF"/>
            <w:noWrap/>
            <w:hideMark/>
          </w:tcPr>
          <w:p w14:paraId="13EC6FE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≤37,5</w:t>
            </w:r>
          </w:p>
        </w:tc>
        <w:tc>
          <w:tcPr>
            <w:tcW w:w="416" w:type="dxa"/>
            <w:tcBorders>
              <w:top w:val="single" w:sz="4" w:space="0" w:color="D0CECE" w:themeColor="background2" w:themeShade="E6"/>
              <w:left w:val="nil"/>
              <w:bottom w:val="nil"/>
              <w:right w:val="nil"/>
            </w:tcBorders>
            <w:shd w:val="clear" w:color="000000" w:fill="FFFFFF"/>
            <w:noWrap/>
            <w:hideMark/>
          </w:tcPr>
          <w:p w14:paraId="708D72B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10,6</w:t>
            </w:r>
          </w:p>
        </w:tc>
        <w:tc>
          <w:tcPr>
            <w:tcW w:w="1096" w:type="dxa"/>
            <w:tcBorders>
              <w:top w:val="single" w:sz="4" w:space="0" w:color="D0CECE" w:themeColor="background2" w:themeShade="E6"/>
              <w:left w:val="nil"/>
              <w:bottom w:val="nil"/>
              <w:right w:val="nil"/>
            </w:tcBorders>
            <w:shd w:val="clear" w:color="000000" w:fill="FFFFFF"/>
            <w:noWrap/>
            <w:hideMark/>
          </w:tcPr>
          <w:p w14:paraId="7D76BE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(44/414)</w:t>
            </w:r>
          </w:p>
        </w:tc>
        <w:tc>
          <w:tcPr>
            <w:tcW w:w="479" w:type="dxa"/>
            <w:tcBorders>
              <w:top w:val="single" w:sz="4" w:space="0" w:color="D0CECE" w:themeColor="background2" w:themeShade="E6"/>
              <w:left w:val="nil"/>
              <w:bottom w:val="nil"/>
              <w:right w:val="nil"/>
            </w:tcBorders>
            <w:shd w:val="clear" w:color="000000" w:fill="FFFFFF"/>
            <w:noWrap/>
            <w:hideMark/>
          </w:tcPr>
          <w:p w14:paraId="4F67F3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nil"/>
              <w:right w:val="nil"/>
            </w:tcBorders>
            <w:shd w:val="clear" w:color="000000" w:fill="FFFFFF"/>
            <w:noWrap/>
            <w:hideMark/>
          </w:tcPr>
          <w:p w14:paraId="61FE83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4" w:space="0" w:color="D0CECE" w:themeColor="background2" w:themeShade="E6"/>
              <w:left w:val="nil"/>
              <w:bottom w:val="nil"/>
              <w:right w:val="nil"/>
            </w:tcBorders>
            <w:shd w:val="clear" w:color="000000" w:fill="FFFFFF"/>
            <w:noWrap/>
            <w:hideMark/>
          </w:tcPr>
          <w:p w14:paraId="7BF7AC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single" w:sz="4" w:space="0" w:color="D0CECE" w:themeColor="background2" w:themeShade="E6"/>
              <w:left w:val="nil"/>
              <w:bottom w:val="nil"/>
              <w:right w:val="nil"/>
            </w:tcBorders>
            <w:shd w:val="clear" w:color="000000" w:fill="FFFFFF"/>
            <w:noWrap/>
            <w:hideMark/>
          </w:tcPr>
          <w:p w14:paraId="6798C5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single" w:sz="4" w:space="0" w:color="D0CECE" w:themeColor="background2" w:themeShade="E6"/>
              <w:left w:val="nil"/>
              <w:bottom w:val="nil"/>
              <w:right w:val="nil"/>
            </w:tcBorders>
            <w:shd w:val="clear" w:color="000000" w:fill="FFFFFF"/>
            <w:noWrap/>
            <w:hideMark/>
          </w:tcPr>
          <w:p w14:paraId="6AE2A7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single" w:sz="4" w:space="0" w:color="D0CECE" w:themeColor="background2" w:themeShade="E6"/>
              <w:left w:val="nil"/>
              <w:bottom w:val="nil"/>
              <w:right w:val="nil"/>
            </w:tcBorders>
            <w:shd w:val="clear" w:color="000000" w:fill="FFFFFF"/>
            <w:noWrap/>
            <w:hideMark/>
          </w:tcPr>
          <w:p w14:paraId="143AF6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single" w:sz="4" w:space="0" w:color="D0CECE" w:themeColor="background2" w:themeShade="E6"/>
              <w:left w:val="nil"/>
              <w:bottom w:val="nil"/>
              <w:right w:val="nil"/>
            </w:tcBorders>
            <w:shd w:val="clear" w:color="000000" w:fill="FFFFFF"/>
            <w:noWrap/>
            <w:hideMark/>
          </w:tcPr>
          <w:p w14:paraId="351BA8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4" w:space="0" w:color="D0CECE" w:themeColor="background2" w:themeShade="E6"/>
              <w:left w:val="nil"/>
              <w:bottom w:val="nil"/>
              <w:right w:val="nil"/>
            </w:tcBorders>
            <w:shd w:val="clear" w:color="000000" w:fill="FFFFFF"/>
            <w:noWrap/>
            <w:hideMark/>
          </w:tcPr>
          <w:p w14:paraId="012CC0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64F6661" w14:textId="77777777" w:rsidTr="00CF1C1E">
        <w:trPr>
          <w:trHeight w:val="20"/>
        </w:trPr>
        <w:tc>
          <w:tcPr>
            <w:tcW w:w="1292" w:type="dxa"/>
            <w:tcBorders>
              <w:top w:val="nil"/>
              <w:left w:val="nil"/>
              <w:bottom w:val="nil"/>
              <w:right w:val="nil"/>
            </w:tcBorders>
            <w:shd w:val="clear" w:color="000000" w:fill="FFFFFF"/>
            <w:noWrap/>
            <w:hideMark/>
          </w:tcPr>
          <w:p w14:paraId="7BE660C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nil"/>
              <w:left w:val="nil"/>
              <w:bottom w:val="nil"/>
              <w:right w:val="nil"/>
            </w:tcBorders>
            <w:shd w:val="clear" w:color="000000" w:fill="FFFFFF"/>
            <w:noWrap/>
            <w:hideMark/>
          </w:tcPr>
          <w:p w14:paraId="501BA8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11" w:type="dxa"/>
            <w:gridSpan w:val="2"/>
            <w:tcBorders>
              <w:top w:val="nil"/>
              <w:left w:val="nil"/>
              <w:bottom w:val="nil"/>
              <w:right w:val="nil"/>
            </w:tcBorders>
            <w:shd w:val="clear" w:color="000000" w:fill="FFFFFF"/>
            <w:noWrap/>
            <w:hideMark/>
          </w:tcPr>
          <w:p w14:paraId="502464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&gt;37,5 ≤100,0</w:t>
            </w:r>
          </w:p>
        </w:tc>
        <w:tc>
          <w:tcPr>
            <w:tcW w:w="416" w:type="dxa"/>
            <w:tcBorders>
              <w:top w:val="nil"/>
              <w:left w:val="nil"/>
              <w:bottom w:val="nil"/>
              <w:right w:val="nil"/>
            </w:tcBorders>
            <w:shd w:val="clear" w:color="000000" w:fill="FFFFFF"/>
            <w:noWrap/>
            <w:hideMark/>
          </w:tcPr>
          <w:p w14:paraId="1F3BCAA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34,1</w:t>
            </w:r>
          </w:p>
        </w:tc>
        <w:tc>
          <w:tcPr>
            <w:tcW w:w="1096" w:type="dxa"/>
            <w:tcBorders>
              <w:top w:val="nil"/>
              <w:left w:val="nil"/>
              <w:bottom w:val="nil"/>
              <w:right w:val="nil"/>
            </w:tcBorders>
            <w:shd w:val="clear" w:color="000000" w:fill="FFFFFF"/>
            <w:noWrap/>
            <w:hideMark/>
          </w:tcPr>
          <w:p w14:paraId="53DAAC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(141/414)</w:t>
            </w:r>
          </w:p>
        </w:tc>
        <w:tc>
          <w:tcPr>
            <w:tcW w:w="479" w:type="dxa"/>
            <w:tcBorders>
              <w:top w:val="nil"/>
              <w:left w:val="nil"/>
              <w:bottom w:val="nil"/>
              <w:right w:val="nil"/>
            </w:tcBorders>
            <w:shd w:val="clear" w:color="000000" w:fill="FFFFFF"/>
            <w:noWrap/>
            <w:hideMark/>
          </w:tcPr>
          <w:p w14:paraId="0716D0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1137A0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nil"/>
              <w:right w:val="nil"/>
            </w:tcBorders>
            <w:shd w:val="clear" w:color="000000" w:fill="FFFFFF"/>
            <w:noWrap/>
            <w:hideMark/>
          </w:tcPr>
          <w:p w14:paraId="1E0F16D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nil"/>
              <w:right w:val="nil"/>
            </w:tcBorders>
            <w:shd w:val="clear" w:color="000000" w:fill="FFFFFF"/>
            <w:noWrap/>
            <w:hideMark/>
          </w:tcPr>
          <w:p w14:paraId="43EC7C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nil"/>
              <w:right w:val="nil"/>
            </w:tcBorders>
            <w:shd w:val="clear" w:color="000000" w:fill="FFFFFF"/>
            <w:noWrap/>
            <w:hideMark/>
          </w:tcPr>
          <w:p w14:paraId="62748D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nil"/>
              <w:right w:val="nil"/>
            </w:tcBorders>
            <w:shd w:val="clear" w:color="000000" w:fill="FFFFFF"/>
            <w:noWrap/>
            <w:hideMark/>
          </w:tcPr>
          <w:p w14:paraId="2C5481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nil"/>
              <w:right w:val="nil"/>
            </w:tcBorders>
            <w:shd w:val="clear" w:color="000000" w:fill="FFFFFF"/>
            <w:noWrap/>
            <w:hideMark/>
          </w:tcPr>
          <w:p w14:paraId="40F2E1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noWrap/>
            <w:hideMark/>
          </w:tcPr>
          <w:p w14:paraId="40BB8E5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422A579" w14:textId="77777777" w:rsidTr="00CF1C1E">
        <w:trPr>
          <w:trHeight w:val="20"/>
        </w:trPr>
        <w:tc>
          <w:tcPr>
            <w:tcW w:w="1292" w:type="dxa"/>
            <w:tcBorders>
              <w:top w:val="nil"/>
              <w:left w:val="nil"/>
              <w:bottom w:val="nil"/>
              <w:right w:val="nil"/>
            </w:tcBorders>
            <w:shd w:val="clear" w:color="000000" w:fill="FFFFFF"/>
            <w:noWrap/>
            <w:hideMark/>
          </w:tcPr>
          <w:p w14:paraId="5F1796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nil"/>
              <w:left w:val="nil"/>
              <w:bottom w:val="nil"/>
              <w:right w:val="nil"/>
            </w:tcBorders>
            <w:shd w:val="clear" w:color="000000" w:fill="FFFFFF"/>
            <w:noWrap/>
            <w:hideMark/>
          </w:tcPr>
          <w:p w14:paraId="27029C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11" w:type="dxa"/>
            <w:gridSpan w:val="2"/>
            <w:tcBorders>
              <w:top w:val="nil"/>
              <w:left w:val="nil"/>
              <w:bottom w:val="nil"/>
              <w:right w:val="nil"/>
            </w:tcBorders>
            <w:shd w:val="clear" w:color="000000" w:fill="FFFFFF"/>
            <w:noWrap/>
            <w:hideMark/>
          </w:tcPr>
          <w:p w14:paraId="2A4772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&gt;100,0 ≤200,0</w:t>
            </w:r>
          </w:p>
        </w:tc>
        <w:tc>
          <w:tcPr>
            <w:tcW w:w="416" w:type="dxa"/>
            <w:tcBorders>
              <w:top w:val="nil"/>
              <w:left w:val="nil"/>
              <w:bottom w:val="nil"/>
              <w:right w:val="nil"/>
            </w:tcBorders>
            <w:shd w:val="clear" w:color="000000" w:fill="FFFFFF"/>
            <w:noWrap/>
            <w:hideMark/>
          </w:tcPr>
          <w:p w14:paraId="11FA611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41,5</w:t>
            </w:r>
          </w:p>
        </w:tc>
        <w:tc>
          <w:tcPr>
            <w:tcW w:w="1096" w:type="dxa"/>
            <w:tcBorders>
              <w:top w:val="nil"/>
              <w:left w:val="nil"/>
              <w:bottom w:val="nil"/>
              <w:right w:val="nil"/>
            </w:tcBorders>
            <w:shd w:val="clear" w:color="000000" w:fill="FFFFFF"/>
            <w:noWrap/>
            <w:hideMark/>
          </w:tcPr>
          <w:p w14:paraId="4D6AFE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(172/414)</w:t>
            </w:r>
          </w:p>
        </w:tc>
        <w:tc>
          <w:tcPr>
            <w:tcW w:w="479" w:type="dxa"/>
            <w:tcBorders>
              <w:top w:val="nil"/>
              <w:left w:val="nil"/>
              <w:bottom w:val="nil"/>
              <w:right w:val="nil"/>
            </w:tcBorders>
            <w:shd w:val="clear" w:color="000000" w:fill="FFFFFF"/>
            <w:noWrap/>
            <w:hideMark/>
          </w:tcPr>
          <w:p w14:paraId="1CA6E4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49A1E3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nil"/>
              <w:right w:val="nil"/>
            </w:tcBorders>
            <w:shd w:val="clear" w:color="000000" w:fill="FFFFFF"/>
            <w:noWrap/>
            <w:hideMark/>
          </w:tcPr>
          <w:p w14:paraId="62B2D1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nil"/>
              <w:right w:val="nil"/>
            </w:tcBorders>
            <w:shd w:val="clear" w:color="000000" w:fill="FFFFFF"/>
            <w:noWrap/>
            <w:hideMark/>
          </w:tcPr>
          <w:p w14:paraId="0119D9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nil"/>
              <w:right w:val="nil"/>
            </w:tcBorders>
            <w:shd w:val="clear" w:color="000000" w:fill="FFFFFF"/>
            <w:noWrap/>
            <w:hideMark/>
          </w:tcPr>
          <w:p w14:paraId="57A7E0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nil"/>
              <w:right w:val="nil"/>
            </w:tcBorders>
            <w:shd w:val="clear" w:color="000000" w:fill="FFFFFF"/>
            <w:noWrap/>
            <w:hideMark/>
          </w:tcPr>
          <w:p w14:paraId="5E69AF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nil"/>
              <w:right w:val="nil"/>
            </w:tcBorders>
            <w:shd w:val="clear" w:color="000000" w:fill="FFFFFF"/>
            <w:noWrap/>
            <w:hideMark/>
          </w:tcPr>
          <w:p w14:paraId="1782E3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noWrap/>
            <w:hideMark/>
          </w:tcPr>
          <w:p w14:paraId="1362E6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011DE3C" w14:textId="77777777" w:rsidTr="00CF1C1E">
        <w:trPr>
          <w:trHeight w:val="20"/>
        </w:trPr>
        <w:tc>
          <w:tcPr>
            <w:tcW w:w="1292" w:type="dxa"/>
            <w:tcBorders>
              <w:top w:val="nil"/>
              <w:left w:val="nil"/>
              <w:bottom w:val="nil"/>
              <w:right w:val="nil"/>
            </w:tcBorders>
            <w:shd w:val="clear" w:color="000000" w:fill="FFFFFF"/>
            <w:noWrap/>
            <w:hideMark/>
          </w:tcPr>
          <w:p w14:paraId="503302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nil"/>
              <w:left w:val="nil"/>
              <w:bottom w:val="single" w:sz="8" w:space="0" w:color="auto"/>
              <w:right w:val="nil"/>
            </w:tcBorders>
            <w:shd w:val="clear" w:color="000000" w:fill="FFFFFF"/>
            <w:noWrap/>
            <w:hideMark/>
          </w:tcPr>
          <w:p w14:paraId="5005F9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11" w:type="dxa"/>
            <w:gridSpan w:val="2"/>
            <w:tcBorders>
              <w:top w:val="nil"/>
              <w:left w:val="nil"/>
              <w:bottom w:val="single" w:sz="8" w:space="0" w:color="auto"/>
              <w:right w:val="nil"/>
            </w:tcBorders>
            <w:shd w:val="clear" w:color="000000" w:fill="FFFFFF"/>
            <w:noWrap/>
            <w:hideMark/>
          </w:tcPr>
          <w:p w14:paraId="104184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&gt;200,0</w:t>
            </w:r>
          </w:p>
        </w:tc>
        <w:tc>
          <w:tcPr>
            <w:tcW w:w="416" w:type="dxa"/>
            <w:tcBorders>
              <w:top w:val="nil"/>
              <w:left w:val="nil"/>
              <w:bottom w:val="single" w:sz="8" w:space="0" w:color="auto"/>
              <w:right w:val="nil"/>
            </w:tcBorders>
            <w:shd w:val="clear" w:color="000000" w:fill="FFFFFF"/>
            <w:noWrap/>
            <w:hideMark/>
          </w:tcPr>
          <w:p w14:paraId="3C8BF79B"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13,8</w:t>
            </w:r>
          </w:p>
        </w:tc>
        <w:tc>
          <w:tcPr>
            <w:tcW w:w="1096" w:type="dxa"/>
            <w:tcBorders>
              <w:top w:val="nil"/>
              <w:left w:val="nil"/>
              <w:bottom w:val="single" w:sz="8" w:space="0" w:color="auto"/>
              <w:right w:val="nil"/>
            </w:tcBorders>
            <w:shd w:val="clear" w:color="000000" w:fill="FFFFFF"/>
            <w:noWrap/>
            <w:hideMark/>
          </w:tcPr>
          <w:p w14:paraId="60A6BA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(57/414)</w:t>
            </w:r>
          </w:p>
        </w:tc>
        <w:tc>
          <w:tcPr>
            <w:tcW w:w="479" w:type="dxa"/>
            <w:tcBorders>
              <w:top w:val="nil"/>
              <w:left w:val="nil"/>
              <w:bottom w:val="single" w:sz="8" w:space="0" w:color="auto"/>
              <w:right w:val="nil"/>
            </w:tcBorders>
            <w:shd w:val="clear" w:color="000000" w:fill="FFFFFF"/>
            <w:noWrap/>
            <w:hideMark/>
          </w:tcPr>
          <w:p w14:paraId="774C5A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8" w:space="0" w:color="auto"/>
              <w:right w:val="nil"/>
            </w:tcBorders>
            <w:shd w:val="clear" w:color="000000" w:fill="FFFFFF"/>
            <w:noWrap/>
            <w:hideMark/>
          </w:tcPr>
          <w:p w14:paraId="472C15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single" w:sz="8" w:space="0" w:color="auto"/>
              <w:right w:val="nil"/>
            </w:tcBorders>
            <w:shd w:val="clear" w:color="000000" w:fill="FFFFFF"/>
            <w:noWrap/>
            <w:hideMark/>
          </w:tcPr>
          <w:p w14:paraId="01507F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single" w:sz="8" w:space="0" w:color="auto"/>
              <w:right w:val="nil"/>
            </w:tcBorders>
            <w:shd w:val="clear" w:color="000000" w:fill="FFFFFF"/>
            <w:noWrap/>
            <w:hideMark/>
          </w:tcPr>
          <w:p w14:paraId="083664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single" w:sz="8" w:space="0" w:color="auto"/>
              <w:right w:val="nil"/>
            </w:tcBorders>
            <w:shd w:val="clear" w:color="000000" w:fill="FFFFFF"/>
            <w:noWrap/>
            <w:hideMark/>
          </w:tcPr>
          <w:p w14:paraId="29C3EA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single" w:sz="8" w:space="0" w:color="auto"/>
              <w:right w:val="nil"/>
            </w:tcBorders>
            <w:shd w:val="clear" w:color="000000" w:fill="FFFFFF"/>
            <w:noWrap/>
            <w:hideMark/>
          </w:tcPr>
          <w:p w14:paraId="5C17540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single" w:sz="8" w:space="0" w:color="auto"/>
              <w:right w:val="nil"/>
            </w:tcBorders>
            <w:shd w:val="clear" w:color="000000" w:fill="FFFFFF"/>
            <w:noWrap/>
            <w:hideMark/>
          </w:tcPr>
          <w:p w14:paraId="05FF8A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single" w:sz="8" w:space="0" w:color="auto"/>
              <w:right w:val="nil"/>
            </w:tcBorders>
            <w:shd w:val="clear" w:color="000000" w:fill="FFFFFF"/>
            <w:noWrap/>
            <w:hideMark/>
          </w:tcPr>
          <w:p w14:paraId="37681C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B94E118" w14:textId="77777777" w:rsidTr="00CF1C1E">
        <w:trPr>
          <w:trHeight w:val="20"/>
        </w:trPr>
        <w:tc>
          <w:tcPr>
            <w:tcW w:w="1292" w:type="dxa"/>
            <w:tcBorders>
              <w:top w:val="single" w:sz="8" w:space="0" w:color="auto"/>
              <w:left w:val="nil"/>
              <w:bottom w:val="nil"/>
              <w:right w:val="nil"/>
            </w:tcBorders>
            <w:shd w:val="clear" w:color="000000" w:fill="FFFFFF"/>
            <w:noWrap/>
            <w:hideMark/>
          </w:tcPr>
          <w:p w14:paraId="388762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Passavanti</w:t>
            </w:r>
            <w:proofErr w:type="spellEnd"/>
            <w:r w:rsidRPr="00367BEC">
              <w:rPr>
                <w:rFonts w:ascii="Times New Roman" w:hAnsi="Times New Roman"/>
                <w:color w:val="000000"/>
                <w:sz w:val="16"/>
              </w:rPr>
              <w:t xml:space="preserve"> 2017</w:t>
            </w:r>
          </w:p>
        </w:tc>
        <w:tc>
          <w:tcPr>
            <w:tcW w:w="1225" w:type="dxa"/>
            <w:tcBorders>
              <w:top w:val="nil"/>
              <w:left w:val="nil"/>
              <w:bottom w:val="single" w:sz="4" w:space="0" w:color="D0CECE" w:themeColor="background2" w:themeShade="E6"/>
              <w:right w:val="nil"/>
            </w:tcBorders>
            <w:shd w:val="clear" w:color="000000" w:fill="FFFFFF"/>
            <w:noWrap/>
            <w:hideMark/>
          </w:tcPr>
          <w:p w14:paraId="3CE3B65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451" w:type="dxa"/>
            <w:tcBorders>
              <w:top w:val="nil"/>
              <w:left w:val="nil"/>
              <w:bottom w:val="single" w:sz="4" w:space="0" w:color="D0CECE" w:themeColor="background2" w:themeShade="E6"/>
              <w:right w:val="nil"/>
            </w:tcBorders>
            <w:shd w:val="clear" w:color="000000" w:fill="FFFFFF"/>
            <w:noWrap/>
            <w:hideMark/>
          </w:tcPr>
          <w:p w14:paraId="06D60A1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196,0</w:t>
            </w:r>
          </w:p>
        </w:tc>
        <w:tc>
          <w:tcPr>
            <w:tcW w:w="1060" w:type="dxa"/>
            <w:tcBorders>
              <w:top w:val="nil"/>
              <w:left w:val="nil"/>
              <w:bottom w:val="single" w:sz="4" w:space="0" w:color="D0CECE" w:themeColor="background2" w:themeShade="E6"/>
              <w:right w:val="nil"/>
            </w:tcBorders>
            <w:shd w:val="clear" w:color="000000" w:fill="FFFFFF"/>
            <w:noWrap/>
            <w:hideMark/>
          </w:tcPr>
          <w:p w14:paraId="5C4E8E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10,4</w:t>
            </w:r>
            <w:r w:rsidRPr="00367BEC">
              <w:rPr>
                <w:rFonts w:ascii="Times New Roman" w:hAnsi="Times New Roman"/>
                <w:b/>
                <w:color w:val="000000"/>
                <w:sz w:val="16"/>
                <w:vertAlign w:val="superscript"/>
              </w:rPr>
              <w:t>n.s.</w:t>
            </w:r>
          </w:p>
        </w:tc>
        <w:tc>
          <w:tcPr>
            <w:tcW w:w="416" w:type="dxa"/>
            <w:tcBorders>
              <w:top w:val="nil"/>
              <w:left w:val="nil"/>
              <w:bottom w:val="single" w:sz="4" w:space="0" w:color="D0CECE" w:themeColor="background2" w:themeShade="E6"/>
              <w:right w:val="nil"/>
            </w:tcBorders>
            <w:shd w:val="clear" w:color="000000" w:fill="FFFFFF"/>
            <w:noWrap/>
            <w:hideMark/>
          </w:tcPr>
          <w:p w14:paraId="4CD070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nil"/>
              <w:left w:val="nil"/>
              <w:bottom w:val="single" w:sz="4" w:space="0" w:color="D0CECE" w:themeColor="background2" w:themeShade="E6"/>
              <w:right w:val="nil"/>
            </w:tcBorders>
            <w:shd w:val="clear" w:color="000000" w:fill="FFFFFF"/>
            <w:noWrap/>
            <w:hideMark/>
          </w:tcPr>
          <w:p w14:paraId="7371257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(25/25)</w:t>
            </w:r>
          </w:p>
        </w:tc>
        <w:tc>
          <w:tcPr>
            <w:tcW w:w="479" w:type="dxa"/>
            <w:tcBorders>
              <w:top w:val="nil"/>
              <w:left w:val="nil"/>
              <w:bottom w:val="single" w:sz="4" w:space="0" w:color="D0CECE" w:themeColor="background2" w:themeShade="E6"/>
              <w:right w:val="nil"/>
            </w:tcBorders>
            <w:shd w:val="clear" w:color="000000" w:fill="FFFFFF"/>
            <w:noWrap/>
            <w:hideMark/>
          </w:tcPr>
          <w:p w14:paraId="56B845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4" w:space="0" w:color="D0CECE" w:themeColor="background2" w:themeShade="E6"/>
              <w:right w:val="nil"/>
            </w:tcBorders>
            <w:shd w:val="clear" w:color="000000" w:fill="FFFFFF"/>
            <w:noWrap/>
            <w:hideMark/>
          </w:tcPr>
          <w:p w14:paraId="765749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single" w:sz="4" w:space="0" w:color="D0CECE" w:themeColor="background2" w:themeShade="E6"/>
              <w:right w:val="nil"/>
            </w:tcBorders>
            <w:shd w:val="clear" w:color="000000" w:fill="FFFFFF"/>
            <w:noWrap/>
            <w:hideMark/>
          </w:tcPr>
          <w:p w14:paraId="0DACCE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158,0</w:t>
            </w:r>
          </w:p>
        </w:tc>
        <w:tc>
          <w:tcPr>
            <w:tcW w:w="681" w:type="dxa"/>
            <w:tcBorders>
              <w:top w:val="nil"/>
              <w:left w:val="nil"/>
              <w:bottom w:val="single" w:sz="4" w:space="0" w:color="D0CECE" w:themeColor="background2" w:themeShade="E6"/>
              <w:right w:val="nil"/>
            </w:tcBorders>
            <w:shd w:val="clear" w:color="000000" w:fill="FFFFFF"/>
            <w:noWrap/>
            <w:hideMark/>
          </w:tcPr>
          <w:p w14:paraId="39718A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8,5</w:t>
            </w:r>
          </w:p>
        </w:tc>
        <w:tc>
          <w:tcPr>
            <w:tcW w:w="376" w:type="dxa"/>
            <w:tcBorders>
              <w:top w:val="nil"/>
              <w:left w:val="nil"/>
              <w:bottom w:val="single" w:sz="4" w:space="0" w:color="D0CECE" w:themeColor="background2" w:themeShade="E6"/>
              <w:right w:val="nil"/>
            </w:tcBorders>
            <w:shd w:val="clear" w:color="000000" w:fill="FFFFFF"/>
            <w:noWrap/>
            <w:hideMark/>
          </w:tcPr>
          <w:p w14:paraId="53DC1A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nil"/>
              <w:left w:val="nil"/>
              <w:bottom w:val="single" w:sz="4" w:space="0" w:color="D0CECE" w:themeColor="background2" w:themeShade="E6"/>
              <w:right w:val="nil"/>
            </w:tcBorders>
            <w:shd w:val="clear" w:color="000000" w:fill="FFFFFF"/>
            <w:noWrap/>
            <w:hideMark/>
          </w:tcPr>
          <w:p w14:paraId="3DF69E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(25/25)</w:t>
            </w:r>
          </w:p>
        </w:tc>
        <w:tc>
          <w:tcPr>
            <w:tcW w:w="1221" w:type="dxa"/>
            <w:tcBorders>
              <w:top w:val="nil"/>
              <w:left w:val="nil"/>
              <w:bottom w:val="single" w:sz="4" w:space="0" w:color="D0CECE" w:themeColor="background2" w:themeShade="E6"/>
              <w:right w:val="nil"/>
            </w:tcBorders>
            <w:shd w:val="clear" w:color="000000" w:fill="FFFFFF"/>
            <w:noWrap/>
            <w:hideMark/>
          </w:tcPr>
          <w:p w14:paraId="392C8D8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−38,0</w:t>
            </w:r>
            <w:r w:rsidRPr="00367BEC">
              <w:rPr>
                <w:rFonts w:ascii="Times New Roman" w:hAnsi="Times New Roman"/>
                <w:b/>
                <w:color w:val="000000"/>
                <w:sz w:val="16"/>
                <w:vertAlign w:val="superscript"/>
              </w:rPr>
              <w:t>III</w:t>
            </w:r>
          </w:p>
        </w:tc>
        <w:tc>
          <w:tcPr>
            <w:tcW w:w="1467" w:type="dxa"/>
            <w:tcBorders>
              <w:top w:val="nil"/>
              <w:left w:val="nil"/>
              <w:bottom w:val="single" w:sz="4" w:space="0" w:color="D0CECE" w:themeColor="background2" w:themeShade="E6"/>
              <w:right w:val="nil"/>
            </w:tcBorders>
            <w:shd w:val="clear" w:color="000000" w:fill="FFFFFF"/>
            <w:noWrap/>
            <w:hideMark/>
          </w:tcPr>
          <w:p w14:paraId="7D3EC19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−19,4</w:t>
            </w:r>
            <w:r w:rsidRPr="00367BEC">
              <w:rPr>
                <w:rFonts w:ascii="Times New Roman" w:hAnsi="Times New Roman"/>
                <w:b/>
                <w:color w:val="000000"/>
                <w:sz w:val="16"/>
                <w:vertAlign w:val="superscript"/>
              </w:rPr>
              <w:t>iii</w:t>
            </w:r>
          </w:p>
        </w:tc>
      </w:tr>
      <w:tr w:rsidR="002E4D99" w:rsidRPr="00367BEC" w14:paraId="7408C7D2" w14:textId="77777777" w:rsidTr="00CF1C1E">
        <w:trPr>
          <w:trHeight w:val="20"/>
        </w:trPr>
        <w:tc>
          <w:tcPr>
            <w:tcW w:w="1292" w:type="dxa"/>
            <w:tcBorders>
              <w:top w:val="nil"/>
              <w:left w:val="nil"/>
              <w:bottom w:val="nil"/>
              <w:right w:val="nil"/>
            </w:tcBorders>
            <w:shd w:val="clear" w:color="000000" w:fill="FFFFFF"/>
            <w:noWrap/>
            <w:hideMark/>
          </w:tcPr>
          <w:p w14:paraId="498C34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single" w:sz="4" w:space="0" w:color="D0CECE" w:themeColor="background2" w:themeShade="E6"/>
              <w:left w:val="nil"/>
              <w:bottom w:val="single" w:sz="8" w:space="0" w:color="auto"/>
              <w:right w:val="nil"/>
            </w:tcBorders>
            <w:shd w:val="clear" w:color="000000" w:fill="FFFFFF"/>
            <w:noWrap/>
            <w:hideMark/>
          </w:tcPr>
          <w:p w14:paraId="22CCC9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 </w:t>
            </w:r>
            <w:proofErr w:type="spellStart"/>
            <w:r w:rsidRPr="00367BEC">
              <w:rPr>
                <w:rFonts w:ascii="Times New Roman" w:hAnsi="Times New Roman"/>
                <w:color w:val="000000"/>
                <w:sz w:val="16"/>
              </w:rPr>
              <w:t>um</w:t>
            </w:r>
            <w:proofErr w:type="spellEnd"/>
            <w:r w:rsidRPr="00367BEC">
              <w:rPr>
                <w:rFonts w:ascii="Times New Roman" w:hAnsi="Times New Roman"/>
                <w:color w:val="000000"/>
                <w:sz w:val="16"/>
              </w:rPr>
              <w:t>-PEA</w:t>
            </w:r>
          </w:p>
        </w:tc>
        <w:tc>
          <w:tcPr>
            <w:tcW w:w="451" w:type="dxa"/>
            <w:tcBorders>
              <w:top w:val="single" w:sz="4" w:space="0" w:color="D0CECE" w:themeColor="background2" w:themeShade="E6"/>
              <w:left w:val="nil"/>
              <w:bottom w:val="single" w:sz="8" w:space="0" w:color="auto"/>
              <w:right w:val="nil"/>
            </w:tcBorders>
            <w:shd w:val="clear" w:color="000000" w:fill="FFFFFF"/>
            <w:noWrap/>
            <w:hideMark/>
          </w:tcPr>
          <w:p w14:paraId="256A77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203,3</w:t>
            </w:r>
          </w:p>
        </w:tc>
        <w:tc>
          <w:tcPr>
            <w:tcW w:w="1060" w:type="dxa"/>
            <w:tcBorders>
              <w:top w:val="single" w:sz="4" w:space="0" w:color="D0CECE" w:themeColor="background2" w:themeShade="E6"/>
              <w:left w:val="nil"/>
              <w:bottom w:val="single" w:sz="8" w:space="0" w:color="auto"/>
              <w:right w:val="nil"/>
            </w:tcBorders>
            <w:shd w:val="clear" w:color="000000" w:fill="FFFFFF"/>
            <w:noWrap/>
            <w:hideMark/>
          </w:tcPr>
          <w:p w14:paraId="007A99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6,8</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7A4F30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4" w:space="0" w:color="D0CECE" w:themeColor="background2" w:themeShade="E6"/>
              <w:left w:val="nil"/>
              <w:bottom w:val="single" w:sz="8" w:space="0" w:color="auto"/>
              <w:right w:val="nil"/>
            </w:tcBorders>
            <w:shd w:val="clear" w:color="000000" w:fill="FFFFFF"/>
            <w:noWrap/>
            <w:hideMark/>
          </w:tcPr>
          <w:p w14:paraId="4B0D9D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(30/30)</w:t>
            </w:r>
          </w:p>
        </w:tc>
        <w:tc>
          <w:tcPr>
            <w:tcW w:w="479" w:type="dxa"/>
            <w:tcBorders>
              <w:top w:val="single" w:sz="4" w:space="0" w:color="D0CECE" w:themeColor="background2" w:themeShade="E6"/>
              <w:left w:val="nil"/>
              <w:bottom w:val="single" w:sz="8" w:space="0" w:color="auto"/>
              <w:right w:val="nil"/>
            </w:tcBorders>
            <w:shd w:val="clear" w:color="000000" w:fill="FFFFFF"/>
            <w:noWrap/>
            <w:hideMark/>
          </w:tcPr>
          <w:p w14:paraId="645C363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single" w:sz="8" w:space="0" w:color="auto"/>
              <w:right w:val="nil"/>
            </w:tcBorders>
            <w:shd w:val="clear" w:color="000000" w:fill="FFFFFF"/>
            <w:noWrap/>
            <w:hideMark/>
          </w:tcPr>
          <w:p w14:paraId="409970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4" w:space="0" w:color="D0CECE" w:themeColor="background2" w:themeShade="E6"/>
              <w:left w:val="nil"/>
              <w:bottom w:val="single" w:sz="8" w:space="0" w:color="auto"/>
              <w:right w:val="nil"/>
            </w:tcBorders>
            <w:shd w:val="clear" w:color="000000" w:fill="FFFFFF"/>
            <w:noWrap/>
            <w:hideMark/>
          </w:tcPr>
          <w:p w14:paraId="596B29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121,7</w:t>
            </w:r>
          </w:p>
        </w:tc>
        <w:tc>
          <w:tcPr>
            <w:tcW w:w="681" w:type="dxa"/>
            <w:tcBorders>
              <w:top w:val="single" w:sz="4" w:space="0" w:color="D0CECE" w:themeColor="background2" w:themeShade="E6"/>
              <w:left w:val="nil"/>
              <w:bottom w:val="single" w:sz="8" w:space="0" w:color="auto"/>
              <w:right w:val="nil"/>
            </w:tcBorders>
            <w:shd w:val="clear" w:color="000000" w:fill="FFFFFF"/>
            <w:noWrap/>
            <w:hideMark/>
          </w:tcPr>
          <w:p w14:paraId="7F273B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6,2</w:t>
            </w:r>
          </w:p>
        </w:tc>
        <w:tc>
          <w:tcPr>
            <w:tcW w:w="376" w:type="dxa"/>
            <w:tcBorders>
              <w:top w:val="single" w:sz="4" w:space="0" w:color="D0CECE" w:themeColor="background2" w:themeShade="E6"/>
              <w:left w:val="nil"/>
              <w:bottom w:val="single" w:sz="8" w:space="0" w:color="auto"/>
              <w:right w:val="nil"/>
            </w:tcBorders>
            <w:shd w:val="clear" w:color="000000" w:fill="FFFFFF"/>
            <w:noWrap/>
            <w:hideMark/>
          </w:tcPr>
          <w:p w14:paraId="1F1160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4" w:space="0" w:color="D0CECE" w:themeColor="background2" w:themeShade="E6"/>
              <w:left w:val="nil"/>
              <w:bottom w:val="single" w:sz="8" w:space="0" w:color="auto"/>
              <w:right w:val="nil"/>
            </w:tcBorders>
            <w:shd w:val="clear" w:color="000000" w:fill="FFFFFF"/>
            <w:noWrap/>
            <w:hideMark/>
          </w:tcPr>
          <w:p w14:paraId="78B2D5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(30/30)</w:t>
            </w:r>
          </w:p>
        </w:tc>
        <w:tc>
          <w:tcPr>
            <w:tcW w:w="1221" w:type="dxa"/>
            <w:tcBorders>
              <w:top w:val="single" w:sz="4" w:space="0" w:color="D0CECE" w:themeColor="background2" w:themeShade="E6"/>
              <w:left w:val="nil"/>
              <w:bottom w:val="single" w:sz="8" w:space="0" w:color="auto"/>
              <w:right w:val="nil"/>
            </w:tcBorders>
            <w:shd w:val="clear" w:color="000000" w:fill="FFFFFF"/>
            <w:noWrap/>
            <w:hideMark/>
          </w:tcPr>
          <w:p w14:paraId="7FA8D6CB"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−81,6</w:t>
            </w:r>
          </w:p>
        </w:tc>
        <w:tc>
          <w:tcPr>
            <w:tcW w:w="1467" w:type="dxa"/>
            <w:tcBorders>
              <w:top w:val="single" w:sz="4" w:space="0" w:color="D0CECE" w:themeColor="background2" w:themeShade="E6"/>
              <w:left w:val="nil"/>
              <w:bottom w:val="single" w:sz="8" w:space="0" w:color="auto"/>
              <w:right w:val="nil"/>
            </w:tcBorders>
            <w:shd w:val="clear" w:color="000000" w:fill="FFFFFF"/>
            <w:noWrap/>
            <w:hideMark/>
          </w:tcPr>
          <w:p w14:paraId="0B45137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−40,1</w:t>
            </w:r>
            <w:r w:rsidRPr="00367BEC">
              <w:rPr>
                <w:rFonts w:ascii="Times New Roman" w:hAnsi="Times New Roman"/>
                <w:b/>
                <w:color w:val="000000"/>
                <w:sz w:val="16"/>
                <w:vertAlign w:val="superscript"/>
              </w:rPr>
              <w:t>iii</w:t>
            </w:r>
          </w:p>
        </w:tc>
      </w:tr>
      <w:tr w:rsidR="002E4D99" w:rsidRPr="00367BEC" w14:paraId="7FFD976F" w14:textId="77777777" w:rsidTr="00CF1C1E">
        <w:trPr>
          <w:trHeight w:val="20"/>
        </w:trPr>
        <w:tc>
          <w:tcPr>
            <w:tcW w:w="1292" w:type="dxa"/>
            <w:tcBorders>
              <w:top w:val="single" w:sz="8" w:space="0" w:color="auto"/>
              <w:left w:val="nil"/>
              <w:bottom w:val="nil"/>
              <w:right w:val="nil"/>
            </w:tcBorders>
            <w:shd w:val="clear" w:color="000000" w:fill="FFFFFF"/>
            <w:noWrap/>
            <w:hideMark/>
          </w:tcPr>
          <w:p w14:paraId="0FE6AC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Ueberall</w:t>
            </w:r>
            <w:proofErr w:type="spellEnd"/>
            <w:r w:rsidRPr="00367BEC">
              <w:rPr>
                <w:rFonts w:ascii="Times New Roman" w:hAnsi="Times New Roman"/>
                <w:color w:val="000000"/>
                <w:sz w:val="16"/>
              </w:rPr>
              <w:t xml:space="preserve"> 2016</w:t>
            </w:r>
          </w:p>
        </w:tc>
        <w:tc>
          <w:tcPr>
            <w:tcW w:w="1225" w:type="dxa"/>
            <w:tcBorders>
              <w:top w:val="nil"/>
              <w:left w:val="nil"/>
              <w:bottom w:val="single" w:sz="4" w:space="0" w:color="D0CECE" w:themeColor="background2" w:themeShade="E6"/>
              <w:right w:val="nil"/>
            </w:tcBorders>
            <w:shd w:val="clear" w:color="000000" w:fill="FFFFFF"/>
            <w:noWrap/>
            <w:hideMark/>
          </w:tcPr>
          <w:p w14:paraId="1F6E528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511" w:type="dxa"/>
            <w:gridSpan w:val="2"/>
            <w:tcBorders>
              <w:top w:val="single" w:sz="8" w:space="0" w:color="auto"/>
              <w:left w:val="nil"/>
              <w:bottom w:val="single" w:sz="4" w:space="0" w:color="D0CECE" w:themeColor="background2" w:themeShade="E6"/>
              <w:right w:val="nil"/>
            </w:tcBorders>
            <w:shd w:val="clear" w:color="000000" w:fill="FFFFFF"/>
            <w:noWrap/>
            <w:hideMark/>
          </w:tcPr>
          <w:p w14:paraId="6662005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88,8</w:t>
            </w:r>
          </w:p>
        </w:tc>
        <w:tc>
          <w:tcPr>
            <w:tcW w:w="416" w:type="dxa"/>
            <w:tcBorders>
              <w:top w:val="nil"/>
              <w:left w:val="nil"/>
              <w:bottom w:val="single" w:sz="4" w:space="0" w:color="D0CECE" w:themeColor="background2" w:themeShade="E6"/>
              <w:right w:val="nil"/>
            </w:tcBorders>
            <w:shd w:val="clear" w:color="000000" w:fill="FFFFFF"/>
            <w:noWrap/>
            <w:hideMark/>
          </w:tcPr>
          <w:p w14:paraId="58B382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nil"/>
              <w:left w:val="nil"/>
              <w:bottom w:val="single" w:sz="4" w:space="0" w:color="D0CECE" w:themeColor="background2" w:themeShade="E6"/>
              <w:right w:val="nil"/>
            </w:tcBorders>
            <w:shd w:val="clear" w:color="000000" w:fill="FFFFFF"/>
            <w:noWrap/>
            <w:hideMark/>
          </w:tcPr>
          <w:p w14:paraId="799645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(133/133)</w:t>
            </w:r>
          </w:p>
        </w:tc>
        <w:tc>
          <w:tcPr>
            <w:tcW w:w="479" w:type="dxa"/>
            <w:tcBorders>
              <w:top w:val="nil"/>
              <w:left w:val="nil"/>
              <w:bottom w:val="single" w:sz="4" w:space="0" w:color="D0CECE" w:themeColor="background2" w:themeShade="E6"/>
              <w:right w:val="nil"/>
            </w:tcBorders>
            <w:shd w:val="clear" w:color="000000" w:fill="FFFFFF"/>
            <w:noWrap/>
            <w:hideMark/>
          </w:tcPr>
          <w:p w14:paraId="150665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4" w:space="0" w:color="D0CECE" w:themeColor="background2" w:themeShade="E6"/>
              <w:right w:val="nil"/>
            </w:tcBorders>
            <w:shd w:val="clear" w:color="000000" w:fill="FFFFFF"/>
            <w:noWrap/>
            <w:hideMark/>
          </w:tcPr>
          <w:p w14:paraId="316915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single" w:sz="4" w:space="0" w:color="D0CECE" w:themeColor="background2" w:themeShade="E6"/>
              <w:right w:val="nil"/>
            </w:tcBorders>
            <w:shd w:val="clear" w:color="000000" w:fill="FFFFFF"/>
            <w:noWrap/>
            <w:hideMark/>
          </w:tcPr>
          <w:p w14:paraId="2772BFA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318,9</w:t>
            </w:r>
          </w:p>
        </w:tc>
        <w:tc>
          <w:tcPr>
            <w:tcW w:w="681" w:type="dxa"/>
            <w:tcBorders>
              <w:top w:val="nil"/>
              <w:left w:val="nil"/>
              <w:bottom w:val="single" w:sz="4" w:space="0" w:color="D0CECE" w:themeColor="background2" w:themeShade="E6"/>
              <w:right w:val="nil"/>
            </w:tcBorders>
            <w:shd w:val="clear" w:color="000000" w:fill="FFFFFF"/>
            <w:noWrap/>
            <w:hideMark/>
          </w:tcPr>
          <w:p w14:paraId="78306A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(63,9)</w:t>
            </w:r>
          </w:p>
        </w:tc>
        <w:tc>
          <w:tcPr>
            <w:tcW w:w="376" w:type="dxa"/>
            <w:tcBorders>
              <w:top w:val="nil"/>
              <w:left w:val="nil"/>
              <w:bottom w:val="single" w:sz="4" w:space="0" w:color="D0CECE" w:themeColor="background2" w:themeShade="E6"/>
              <w:right w:val="nil"/>
            </w:tcBorders>
            <w:shd w:val="clear" w:color="000000" w:fill="FFFFFF"/>
            <w:noWrap/>
            <w:hideMark/>
          </w:tcPr>
          <w:p w14:paraId="7480E6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nil"/>
              <w:left w:val="nil"/>
              <w:bottom w:val="single" w:sz="4" w:space="0" w:color="D0CECE" w:themeColor="background2" w:themeShade="E6"/>
              <w:right w:val="nil"/>
            </w:tcBorders>
            <w:shd w:val="clear" w:color="000000" w:fill="FFFFFF"/>
            <w:noWrap/>
            <w:hideMark/>
          </w:tcPr>
          <w:p w14:paraId="100814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(133/133)</w:t>
            </w:r>
          </w:p>
        </w:tc>
        <w:tc>
          <w:tcPr>
            <w:tcW w:w="1221" w:type="dxa"/>
            <w:tcBorders>
              <w:top w:val="nil"/>
              <w:left w:val="nil"/>
              <w:bottom w:val="single" w:sz="4" w:space="0" w:color="D0CECE" w:themeColor="background2" w:themeShade="E6"/>
              <w:right w:val="nil"/>
            </w:tcBorders>
            <w:shd w:val="clear" w:color="000000" w:fill="FFFFFF"/>
            <w:noWrap/>
            <w:hideMark/>
          </w:tcPr>
          <w:p w14:paraId="21181C8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230,1</w:t>
            </w:r>
          </w:p>
        </w:tc>
        <w:tc>
          <w:tcPr>
            <w:tcW w:w="1467" w:type="dxa"/>
            <w:tcBorders>
              <w:top w:val="nil"/>
              <w:left w:val="nil"/>
              <w:bottom w:val="single" w:sz="4" w:space="0" w:color="D0CECE" w:themeColor="background2" w:themeShade="E6"/>
              <w:right w:val="nil"/>
            </w:tcBorders>
            <w:shd w:val="clear" w:color="000000" w:fill="FFFFFF"/>
            <w:noWrap/>
            <w:hideMark/>
          </w:tcPr>
          <w:p w14:paraId="350AF24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259,1</w:t>
            </w:r>
          </w:p>
        </w:tc>
      </w:tr>
      <w:tr w:rsidR="002E4D99" w:rsidRPr="00367BEC" w14:paraId="2220E8D0" w14:textId="77777777" w:rsidTr="00CF1C1E">
        <w:trPr>
          <w:trHeight w:val="20"/>
        </w:trPr>
        <w:tc>
          <w:tcPr>
            <w:tcW w:w="1292" w:type="dxa"/>
            <w:tcBorders>
              <w:top w:val="nil"/>
              <w:left w:val="nil"/>
              <w:bottom w:val="nil"/>
              <w:right w:val="nil"/>
            </w:tcBorders>
            <w:shd w:val="clear" w:color="000000" w:fill="FFFFFF"/>
            <w:noWrap/>
            <w:hideMark/>
          </w:tcPr>
          <w:p w14:paraId="3EA771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single" w:sz="4" w:space="0" w:color="D0CECE" w:themeColor="background2" w:themeShade="E6"/>
              <w:left w:val="nil"/>
              <w:bottom w:val="single" w:sz="8" w:space="0" w:color="auto"/>
              <w:right w:val="nil"/>
            </w:tcBorders>
            <w:shd w:val="clear" w:color="000000" w:fill="FFFFFF"/>
            <w:noWrap/>
            <w:hideMark/>
          </w:tcPr>
          <w:p w14:paraId="38A76B5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OXN</w:t>
            </w:r>
          </w:p>
        </w:tc>
        <w:tc>
          <w:tcPr>
            <w:tcW w:w="1511" w:type="dxa"/>
            <w:gridSpan w:val="2"/>
            <w:tcBorders>
              <w:top w:val="single" w:sz="4" w:space="0" w:color="D0CECE" w:themeColor="background2" w:themeShade="E6"/>
              <w:left w:val="nil"/>
              <w:bottom w:val="single" w:sz="8" w:space="0" w:color="auto"/>
              <w:right w:val="nil"/>
            </w:tcBorders>
            <w:shd w:val="clear" w:color="000000" w:fill="FFFFFF"/>
            <w:noWrap/>
            <w:hideMark/>
          </w:tcPr>
          <w:p w14:paraId="09CCB32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14,0</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0D00D5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4" w:space="0" w:color="D0CECE" w:themeColor="background2" w:themeShade="E6"/>
              <w:left w:val="nil"/>
              <w:bottom w:val="single" w:sz="8" w:space="0" w:color="auto"/>
              <w:right w:val="nil"/>
            </w:tcBorders>
            <w:shd w:val="clear" w:color="000000" w:fill="FFFFFF"/>
            <w:noWrap/>
            <w:hideMark/>
          </w:tcPr>
          <w:p w14:paraId="74069C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(128/128)</w:t>
            </w:r>
          </w:p>
        </w:tc>
        <w:tc>
          <w:tcPr>
            <w:tcW w:w="479" w:type="dxa"/>
            <w:tcBorders>
              <w:top w:val="single" w:sz="4" w:space="0" w:color="D0CECE" w:themeColor="background2" w:themeShade="E6"/>
              <w:left w:val="nil"/>
              <w:bottom w:val="single" w:sz="8" w:space="0" w:color="auto"/>
              <w:right w:val="nil"/>
            </w:tcBorders>
            <w:shd w:val="clear" w:color="000000" w:fill="FFFFFF"/>
            <w:noWrap/>
            <w:hideMark/>
          </w:tcPr>
          <w:p w14:paraId="3CA6A9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single" w:sz="8" w:space="0" w:color="auto"/>
              <w:right w:val="nil"/>
            </w:tcBorders>
            <w:shd w:val="clear" w:color="000000" w:fill="FFFFFF"/>
            <w:noWrap/>
            <w:hideMark/>
          </w:tcPr>
          <w:p w14:paraId="60C5A0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4" w:space="0" w:color="D0CECE" w:themeColor="background2" w:themeShade="E6"/>
              <w:left w:val="nil"/>
              <w:bottom w:val="single" w:sz="8" w:space="0" w:color="auto"/>
              <w:right w:val="nil"/>
            </w:tcBorders>
            <w:shd w:val="clear" w:color="000000" w:fill="FFFFFF"/>
            <w:noWrap/>
            <w:hideMark/>
          </w:tcPr>
          <w:p w14:paraId="18B3343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57,6</w:t>
            </w:r>
          </w:p>
        </w:tc>
        <w:tc>
          <w:tcPr>
            <w:tcW w:w="681" w:type="dxa"/>
            <w:tcBorders>
              <w:top w:val="single" w:sz="4" w:space="0" w:color="D0CECE" w:themeColor="background2" w:themeShade="E6"/>
              <w:left w:val="nil"/>
              <w:bottom w:val="single" w:sz="8" w:space="0" w:color="auto"/>
              <w:right w:val="nil"/>
            </w:tcBorders>
            <w:shd w:val="clear" w:color="000000" w:fill="FFFFFF"/>
            <w:noWrap/>
            <w:hideMark/>
          </w:tcPr>
          <w:p w14:paraId="2DE61FF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(15,9)</w:t>
            </w:r>
          </w:p>
        </w:tc>
        <w:tc>
          <w:tcPr>
            <w:tcW w:w="376" w:type="dxa"/>
            <w:tcBorders>
              <w:top w:val="single" w:sz="4" w:space="0" w:color="D0CECE" w:themeColor="background2" w:themeShade="E6"/>
              <w:left w:val="nil"/>
              <w:bottom w:val="single" w:sz="8" w:space="0" w:color="auto"/>
              <w:right w:val="nil"/>
            </w:tcBorders>
            <w:shd w:val="clear" w:color="000000" w:fill="FFFFFF"/>
            <w:noWrap/>
            <w:hideMark/>
          </w:tcPr>
          <w:p w14:paraId="7065B4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4" w:space="0" w:color="D0CECE" w:themeColor="background2" w:themeShade="E6"/>
              <w:left w:val="nil"/>
              <w:bottom w:val="single" w:sz="8" w:space="0" w:color="auto"/>
              <w:right w:val="nil"/>
            </w:tcBorders>
            <w:shd w:val="clear" w:color="000000" w:fill="FFFFFF"/>
            <w:noWrap/>
            <w:hideMark/>
          </w:tcPr>
          <w:p w14:paraId="08C6B38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(128/128)</w:t>
            </w:r>
          </w:p>
        </w:tc>
        <w:tc>
          <w:tcPr>
            <w:tcW w:w="1221" w:type="dxa"/>
            <w:tcBorders>
              <w:top w:val="single" w:sz="4" w:space="0" w:color="D0CECE" w:themeColor="background2" w:themeShade="E6"/>
              <w:left w:val="nil"/>
              <w:bottom w:val="single" w:sz="8" w:space="0" w:color="auto"/>
              <w:right w:val="nil"/>
            </w:tcBorders>
            <w:shd w:val="clear" w:color="000000" w:fill="FFFFFF"/>
            <w:noWrap/>
            <w:hideMark/>
          </w:tcPr>
          <w:p w14:paraId="49E303DC"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43,6</w:t>
            </w:r>
          </w:p>
        </w:tc>
        <w:tc>
          <w:tcPr>
            <w:tcW w:w="1467" w:type="dxa"/>
            <w:tcBorders>
              <w:top w:val="single" w:sz="4" w:space="0" w:color="D0CECE" w:themeColor="background2" w:themeShade="E6"/>
              <w:left w:val="nil"/>
              <w:bottom w:val="single" w:sz="8" w:space="0" w:color="auto"/>
              <w:right w:val="nil"/>
            </w:tcBorders>
            <w:shd w:val="clear" w:color="000000" w:fill="FFFFFF"/>
            <w:noWrap/>
            <w:hideMark/>
          </w:tcPr>
          <w:p w14:paraId="2517EE6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311,4</w:t>
            </w:r>
          </w:p>
        </w:tc>
      </w:tr>
      <w:tr w:rsidR="002E4D99" w:rsidRPr="00367BEC" w14:paraId="334FFB9D" w14:textId="77777777" w:rsidTr="00CF1C1E">
        <w:trPr>
          <w:trHeight w:val="20"/>
        </w:trPr>
        <w:tc>
          <w:tcPr>
            <w:tcW w:w="1292" w:type="dxa"/>
            <w:tcBorders>
              <w:top w:val="single" w:sz="8" w:space="0" w:color="auto"/>
              <w:left w:val="nil"/>
              <w:bottom w:val="nil"/>
              <w:right w:val="nil"/>
            </w:tcBorders>
            <w:shd w:val="clear" w:color="000000" w:fill="FFFFFF"/>
            <w:noWrap/>
            <w:hideMark/>
          </w:tcPr>
          <w:p w14:paraId="63904AC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Samolsky</w:t>
            </w:r>
            <w:proofErr w:type="spellEnd"/>
            <w:r w:rsidRPr="00367BEC">
              <w:rPr>
                <w:rFonts w:ascii="Times New Roman" w:hAnsi="Times New Roman"/>
                <w:color w:val="000000"/>
                <w:sz w:val="16"/>
              </w:rPr>
              <w:t xml:space="preserve"> 2015</w:t>
            </w:r>
          </w:p>
        </w:tc>
        <w:tc>
          <w:tcPr>
            <w:tcW w:w="1225" w:type="dxa"/>
            <w:tcBorders>
              <w:top w:val="nil"/>
              <w:left w:val="nil"/>
              <w:bottom w:val="nil"/>
              <w:right w:val="nil"/>
            </w:tcBorders>
            <w:shd w:val="clear" w:color="000000" w:fill="FFFFFF"/>
            <w:noWrap/>
            <w:hideMark/>
          </w:tcPr>
          <w:p w14:paraId="31919E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51" w:type="dxa"/>
            <w:tcBorders>
              <w:top w:val="nil"/>
              <w:left w:val="nil"/>
              <w:bottom w:val="single" w:sz="8" w:space="0" w:color="auto"/>
              <w:right w:val="nil"/>
            </w:tcBorders>
            <w:shd w:val="clear" w:color="000000" w:fill="FFFFFF"/>
            <w:noWrap/>
            <w:hideMark/>
          </w:tcPr>
          <w:p w14:paraId="3A7EE3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126,7</w:t>
            </w:r>
          </w:p>
        </w:tc>
        <w:tc>
          <w:tcPr>
            <w:tcW w:w="1060" w:type="dxa"/>
            <w:tcBorders>
              <w:top w:val="nil"/>
              <w:left w:val="nil"/>
              <w:bottom w:val="single" w:sz="8" w:space="0" w:color="auto"/>
              <w:right w:val="nil"/>
            </w:tcBorders>
            <w:shd w:val="clear" w:color="000000" w:fill="FFFFFF"/>
            <w:noWrap/>
            <w:hideMark/>
          </w:tcPr>
          <w:p w14:paraId="30ED3F8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(58,3)</w:t>
            </w:r>
          </w:p>
        </w:tc>
        <w:tc>
          <w:tcPr>
            <w:tcW w:w="416" w:type="dxa"/>
            <w:tcBorders>
              <w:top w:val="nil"/>
              <w:left w:val="nil"/>
              <w:bottom w:val="nil"/>
              <w:right w:val="nil"/>
            </w:tcBorders>
            <w:shd w:val="clear" w:color="000000" w:fill="FFFFFF"/>
            <w:noWrap/>
            <w:hideMark/>
          </w:tcPr>
          <w:p w14:paraId="18AA7EE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nil"/>
              <w:left w:val="nil"/>
              <w:bottom w:val="nil"/>
              <w:right w:val="nil"/>
            </w:tcBorders>
            <w:shd w:val="clear" w:color="000000" w:fill="FFFFFF"/>
            <w:noWrap/>
            <w:hideMark/>
          </w:tcPr>
          <w:p w14:paraId="5FD21B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(30/30)</w:t>
            </w:r>
          </w:p>
        </w:tc>
        <w:tc>
          <w:tcPr>
            <w:tcW w:w="479" w:type="dxa"/>
            <w:tcBorders>
              <w:top w:val="nil"/>
              <w:left w:val="nil"/>
              <w:bottom w:val="nil"/>
              <w:right w:val="nil"/>
            </w:tcBorders>
            <w:shd w:val="clear" w:color="000000" w:fill="FFFFFF"/>
            <w:noWrap/>
            <w:hideMark/>
          </w:tcPr>
          <w:p w14:paraId="1A7B01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7C04AB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nil"/>
              <w:right w:val="nil"/>
            </w:tcBorders>
            <w:shd w:val="clear" w:color="000000" w:fill="FFFFFF"/>
            <w:noWrap/>
            <w:hideMark/>
          </w:tcPr>
          <w:p w14:paraId="5A35EF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193,3</w:t>
            </w:r>
          </w:p>
        </w:tc>
        <w:tc>
          <w:tcPr>
            <w:tcW w:w="681" w:type="dxa"/>
            <w:tcBorders>
              <w:top w:val="nil"/>
              <w:left w:val="nil"/>
              <w:bottom w:val="nil"/>
              <w:right w:val="nil"/>
            </w:tcBorders>
            <w:shd w:val="clear" w:color="000000" w:fill="FFFFFF"/>
            <w:noWrap/>
            <w:hideMark/>
          </w:tcPr>
          <w:p w14:paraId="6229535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(74,0)</w:t>
            </w:r>
          </w:p>
        </w:tc>
        <w:tc>
          <w:tcPr>
            <w:tcW w:w="376" w:type="dxa"/>
            <w:tcBorders>
              <w:top w:val="nil"/>
              <w:left w:val="nil"/>
              <w:bottom w:val="nil"/>
              <w:right w:val="nil"/>
            </w:tcBorders>
            <w:shd w:val="clear" w:color="000000" w:fill="FFFFFF"/>
            <w:noWrap/>
            <w:hideMark/>
          </w:tcPr>
          <w:p w14:paraId="666EA3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nil"/>
              <w:left w:val="nil"/>
              <w:bottom w:val="nil"/>
              <w:right w:val="nil"/>
            </w:tcBorders>
            <w:shd w:val="clear" w:color="000000" w:fill="FFFFFF"/>
            <w:noWrap/>
            <w:hideMark/>
          </w:tcPr>
          <w:p w14:paraId="3D915A2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(30/30)</w:t>
            </w:r>
          </w:p>
        </w:tc>
        <w:tc>
          <w:tcPr>
            <w:tcW w:w="1221" w:type="dxa"/>
            <w:tcBorders>
              <w:top w:val="nil"/>
              <w:left w:val="nil"/>
              <w:bottom w:val="nil"/>
              <w:right w:val="nil"/>
            </w:tcBorders>
            <w:shd w:val="clear" w:color="000000" w:fill="FFFFFF"/>
            <w:noWrap/>
            <w:hideMark/>
          </w:tcPr>
          <w:p w14:paraId="0C3BA61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66,6</w:t>
            </w:r>
          </w:p>
        </w:tc>
        <w:tc>
          <w:tcPr>
            <w:tcW w:w="1467" w:type="dxa"/>
            <w:tcBorders>
              <w:top w:val="nil"/>
              <w:left w:val="nil"/>
              <w:bottom w:val="nil"/>
              <w:right w:val="nil"/>
            </w:tcBorders>
            <w:shd w:val="clear" w:color="000000" w:fill="FFFFFF"/>
            <w:noWrap/>
            <w:hideMark/>
          </w:tcPr>
          <w:p w14:paraId="675E9A3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52,6</w:t>
            </w:r>
          </w:p>
        </w:tc>
      </w:tr>
      <w:tr w:rsidR="002E4D99" w:rsidRPr="00367BEC" w14:paraId="34AFA9FD" w14:textId="77777777" w:rsidTr="00CF1C1E">
        <w:trPr>
          <w:trHeight w:val="20"/>
        </w:trPr>
        <w:tc>
          <w:tcPr>
            <w:tcW w:w="1292" w:type="dxa"/>
            <w:tcBorders>
              <w:top w:val="single" w:sz="8" w:space="0" w:color="auto"/>
              <w:left w:val="nil"/>
              <w:bottom w:val="nil"/>
              <w:right w:val="nil"/>
            </w:tcBorders>
            <w:shd w:val="clear" w:color="000000" w:fill="FFFFFF"/>
            <w:noWrap/>
            <w:hideMark/>
          </w:tcPr>
          <w:p w14:paraId="1E748D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Strick</w:t>
            </w:r>
            <w:proofErr w:type="spellEnd"/>
            <w:r w:rsidRPr="00367BEC">
              <w:rPr>
                <w:rFonts w:ascii="Times New Roman" w:hAnsi="Times New Roman"/>
                <w:color w:val="000000"/>
                <w:sz w:val="16"/>
              </w:rPr>
              <w:t xml:space="preserve"> 2014</w:t>
            </w:r>
          </w:p>
        </w:tc>
        <w:tc>
          <w:tcPr>
            <w:tcW w:w="1225" w:type="dxa"/>
            <w:tcBorders>
              <w:top w:val="single" w:sz="8" w:space="0" w:color="auto"/>
              <w:left w:val="nil"/>
              <w:bottom w:val="single" w:sz="4" w:space="0" w:color="D0CECE" w:themeColor="background2" w:themeShade="E6"/>
              <w:right w:val="nil"/>
            </w:tcBorders>
            <w:shd w:val="clear" w:color="000000" w:fill="FFFFFF"/>
            <w:noWrap/>
            <w:hideMark/>
          </w:tcPr>
          <w:p w14:paraId="786A19E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(3 m)</w:t>
            </w:r>
          </w:p>
        </w:tc>
        <w:tc>
          <w:tcPr>
            <w:tcW w:w="451" w:type="dxa"/>
            <w:tcBorders>
              <w:top w:val="nil"/>
              <w:left w:val="nil"/>
              <w:bottom w:val="single" w:sz="4" w:space="0" w:color="D0CECE" w:themeColor="background2" w:themeShade="E6"/>
              <w:right w:val="nil"/>
            </w:tcBorders>
            <w:shd w:val="clear" w:color="000000" w:fill="FFFFFF"/>
            <w:noWrap/>
            <w:hideMark/>
          </w:tcPr>
          <w:p w14:paraId="19717B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131,7</w:t>
            </w:r>
          </w:p>
        </w:tc>
        <w:tc>
          <w:tcPr>
            <w:tcW w:w="1060" w:type="dxa"/>
            <w:tcBorders>
              <w:top w:val="nil"/>
              <w:left w:val="nil"/>
              <w:bottom w:val="single" w:sz="4" w:space="0" w:color="D0CECE" w:themeColor="background2" w:themeShade="E6"/>
              <w:right w:val="nil"/>
            </w:tcBorders>
            <w:shd w:val="clear" w:color="000000" w:fill="FFFFFF"/>
            <w:noWrap/>
            <w:hideMark/>
          </w:tcPr>
          <w:p w14:paraId="3189A4F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(67,1)</w:t>
            </w:r>
          </w:p>
        </w:tc>
        <w:tc>
          <w:tcPr>
            <w:tcW w:w="416" w:type="dxa"/>
            <w:tcBorders>
              <w:top w:val="single" w:sz="8" w:space="0" w:color="auto"/>
              <w:left w:val="nil"/>
              <w:bottom w:val="single" w:sz="4" w:space="0" w:color="D0CECE" w:themeColor="background2" w:themeShade="E6"/>
              <w:right w:val="nil"/>
            </w:tcBorders>
            <w:shd w:val="clear" w:color="000000" w:fill="FFFFFF"/>
            <w:noWrap/>
            <w:hideMark/>
          </w:tcPr>
          <w:p w14:paraId="088A87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8" w:space="0" w:color="auto"/>
              <w:left w:val="nil"/>
              <w:bottom w:val="single" w:sz="4" w:space="0" w:color="D0CECE" w:themeColor="background2" w:themeShade="E6"/>
              <w:right w:val="nil"/>
            </w:tcBorders>
            <w:shd w:val="clear" w:color="000000" w:fill="FFFFFF"/>
            <w:noWrap/>
            <w:hideMark/>
          </w:tcPr>
          <w:p w14:paraId="45783A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(1457/1457)</w:t>
            </w:r>
          </w:p>
        </w:tc>
        <w:tc>
          <w:tcPr>
            <w:tcW w:w="479" w:type="dxa"/>
            <w:tcBorders>
              <w:top w:val="single" w:sz="8" w:space="0" w:color="auto"/>
              <w:left w:val="nil"/>
              <w:bottom w:val="single" w:sz="4" w:space="0" w:color="D0CECE" w:themeColor="background2" w:themeShade="E6"/>
              <w:right w:val="nil"/>
            </w:tcBorders>
            <w:shd w:val="clear" w:color="000000" w:fill="FFFFFF"/>
            <w:noWrap/>
            <w:hideMark/>
          </w:tcPr>
          <w:p w14:paraId="3058E0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204,4</w:t>
            </w:r>
          </w:p>
        </w:tc>
        <w:tc>
          <w:tcPr>
            <w:tcW w:w="1105" w:type="dxa"/>
            <w:tcBorders>
              <w:top w:val="single" w:sz="8" w:space="0" w:color="auto"/>
              <w:left w:val="nil"/>
              <w:bottom w:val="single" w:sz="4" w:space="0" w:color="D0CECE" w:themeColor="background2" w:themeShade="E6"/>
              <w:right w:val="nil"/>
            </w:tcBorders>
            <w:shd w:val="clear" w:color="000000" w:fill="FFFFFF"/>
            <w:noWrap/>
            <w:hideMark/>
          </w:tcPr>
          <w:p w14:paraId="5CB0AE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(118,4)</w:t>
            </w:r>
          </w:p>
        </w:tc>
        <w:tc>
          <w:tcPr>
            <w:tcW w:w="504" w:type="dxa"/>
            <w:tcBorders>
              <w:top w:val="single" w:sz="8" w:space="0" w:color="auto"/>
              <w:left w:val="nil"/>
              <w:bottom w:val="single" w:sz="4" w:space="0" w:color="D0CECE" w:themeColor="background2" w:themeShade="E6"/>
              <w:right w:val="nil"/>
            </w:tcBorders>
            <w:shd w:val="clear" w:color="000000" w:fill="FFFFFF"/>
            <w:noWrap/>
            <w:hideMark/>
          </w:tcPr>
          <w:p w14:paraId="012195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227,1</w:t>
            </w:r>
          </w:p>
        </w:tc>
        <w:tc>
          <w:tcPr>
            <w:tcW w:w="681" w:type="dxa"/>
            <w:tcBorders>
              <w:top w:val="single" w:sz="8" w:space="0" w:color="auto"/>
              <w:left w:val="nil"/>
              <w:bottom w:val="single" w:sz="4" w:space="0" w:color="D0CECE" w:themeColor="background2" w:themeShade="E6"/>
              <w:right w:val="nil"/>
            </w:tcBorders>
            <w:shd w:val="clear" w:color="000000" w:fill="FFFFFF"/>
            <w:noWrap/>
            <w:hideMark/>
          </w:tcPr>
          <w:p w14:paraId="00685E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(131,2)</w:t>
            </w:r>
          </w:p>
        </w:tc>
        <w:tc>
          <w:tcPr>
            <w:tcW w:w="376" w:type="dxa"/>
            <w:tcBorders>
              <w:top w:val="single" w:sz="8" w:space="0" w:color="auto"/>
              <w:left w:val="nil"/>
              <w:bottom w:val="single" w:sz="4" w:space="0" w:color="D0CECE" w:themeColor="background2" w:themeShade="E6"/>
              <w:right w:val="nil"/>
            </w:tcBorders>
            <w:shd w:val="clear" w:color="000000" w:fill="FFFFFF"/>
            <w:noWrap/>
            <w:hideMark/>
          </w:tcPr>
          <w:p w14:paraId="3F0F2C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8" w:space="0" w:color="auto"/>
              <w:left w:val="nil"/>
              <w:bottom w:val="single" w:sz="4" w:space="0" w:color="D0CECE" w:themeColor="background2" w:themeShade="E6"/>
              <w:right w:val="nil"/>
            </w:tcBorders>
            <w:shd w:val="clear" w:color="000000" w:fill="FFFFFF"/>
            <w:noWrap/>
            <w:hideMark/>
          </w:tcPr>
          <w:p w14:paraId="442928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(1351/1351)</w:t>
            </w:r>
          </w:p>
        </w:tc>
        <w:tc>
          <w:tcPr>
            <w:tcW w:w="1221" w:type="dxa"/>
            <w:tcBorders>
              <w:top w:val="single" w:sz="8" w:space="0" w:color="auto"/>
              <w:left w:val="nil"/>
              <w:bottom w:val="single" w:sz="4" w:space="0" w:color="D0CECE" w:themeColor="background2" w:themeShade="E6"/>
              <w:right w:val="nil"/>
            </w:tcBorders>
            <w:shd w:val="clear" w:color="000000" w:fill="FFFFFF"/>
            <w:noWrap/>
            <w:hideMark/>
          </w:tcPr>
          <w:p w14:paraId="7A03C07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95,4</w:t>
            </w:r>
          </w:p>
        </w:tc>
        <w:tc>
          <w:tcPr>
            <w:tcW w:w="1467" w:type="dxa"/>
            <w:tcBorders>
              <w:top w:val="single" w:sz="8" w:space="0" w:color="auto"/>
              <w:left w:val="nil"/>
              <w:bottom w:val="single" w:sz="4" w:space="0" w:color="D0CECE" w:themeColor="background2" w:themeShade="E6"/>
              <w:right w:val="nil"/>
            </w:tcBorders>
            <w:shd w:val="clear" w:color="000000" w:fill="FFFFFF"/>
            <w:noWrap/>
            <w:hideMark/>
          </w:tcPr>
          <w:p w14:paraId="7CFA983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72,4</w:t>
            </w:r>
          </w:p>
        </w:tc>
      </w:tr>
      <w:tr w:rsidR="002E4D99" w:rsidRPr="00367BEC" w14:paraId="7CE082B7" w14:textId="77777777" w:rsidTr="00CF1C1E">
        <w:trPr>
          <w:trHeight w:val="20"/>
        </w:trPr>
        <w:tc>
          <w:tcPr>
            <w:tcW w:w="1292" w:type="dxa"/>
            <w:tcBorders>
              <w:top w:val="nil"/>
              <w:left w:val="nil"/>
              <w:bottom w:val="nil"/>
              <w:right w:val="nil"/>
            </w:tcBorders>
            <w:shd w:val="clear" w:color="000000" w:fill="FFFFFF"/>
            <w:noWrap/>
            <w:hideMark/>
          </w:tcPr>
          <w:p w14:paraId="521927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single" w:sz="4" w:space="0" w:color="D0CECE" w:themeColor="background2" w:themeShade="E6"/>
              <w:left w:val="nil"/>
              <w:bottom w:val="single" w:sz="8" w:space="0" w:color="auto"/>
              <w:right w:val="nil"/>
            </w:tcBorders>
            <w:shd w:val="clear" w:color="000000" w:fill="FFFFFF"/>
            <w:noWrap/>
            <w:hideMark/>
          </w:tcPr>
          <w:p w14:paraId="2A0F217E" w14:textId="3A5CBA22"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(12</w:t>
            </w:r>
            <w:r w:rsidR="000D16A0">
              <w:rPr>
                <w:rFonts w:ascii="Times New Roman" w:hAnsi="Times New Roman"/>
                <w:color w:val="000000"/>
                <w:sz w:val="16"/>
              </w:rPr>
              <w:t xml:space="preserve"> </w:t>
            </w:r>
            <w:r w:rsidRPr="00367BEC">
              <w:rPr>
                <w:rFonts w:ascii="Times New Roman" w:hAnsi="Times New Roman"/>
                <w:color w:val="000000"/>
                <w:sz w:val="16"/>
              </w:rPr>
              <w:t>m)</w:t>
            </w:r>
          </w:p>
        </w:tc>
        <w:tc>
          <w:tcPr>
            <w:tcW w:w="451" w:type="dxa"/>
            <w:tcBorders>
              <w:top w:val="single" w:sz="4" w:space="0" w:color="D0CECE" w:themeColor="background2" w:themeShade="E6"/>
              <w:left w:val="nil"/>
              <w:bottom w:val="single" w:sz="8" w:space="0" w:color="auto"/>
              <w:right w:val="nil"/>
            </w:tcBorders>
            <w:shd w:val="clear" w:color="000000" w:fill="FFFFFF"/>
            <w:noWrap/>
            <w:hideMark/>
          </w:tcPr>
          <w:p w14:paraId="2184AD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130,8</w:t>
            </w:r>
          </w:p>
        </w:tc>
        <w:tc>
          <w:tcPr>
            <w:tcW w:w="1060" w:type="dxa"/>
            <w:tcBorders>
              <w:top w:val="single" w:sz="4" w:space="0" w:color="D0CECE" w:themeColor="background2" w:themeShade="E6"/>
              <w:left w:val="nil"/>
              <w:bottom w:val="single" w:sz="8" w:space="0" w:color="auto"/>
              <w:right w:val="nil"/>
            </w:tcBorders>
            <w:shd w:val="clear" w:color="000000" w:fill="FFFFFF"/>
            <w:noWrap/>
            <w:hideMark/>
          </w:tcPr>
          <w:p w14:paraId="79FC04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(63,8)</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54365D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4" w:space="0" w:color="D0CECE" w:themeColor="background2" w:themeShade="E6"/>
              <w:left w:val="nil"/>
              <w:bottom w:val="single" w:sz="8" w:space="0" w:color="auto"/>
              <w:right w:val="nil"/>
            </w:tcBorders>
            <w:shd w:val="clear" w:color="000000" w:fill="FFFFFF"/>
            <w:noWrap/>
            <w:hideMark/>
          </w:tcPr>
          <w:p w14:paraId="44AF805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(588/588)</w:t>
            </w:r>
          </w:p>
        </w:tc>
        <w:tc>
          <w:tcPr>
            <w:tcW w:w="479" w:type="dxa"/>
            <w:tcBorders>
              <w:top w:val="single" w:sz="4" w:space="0" w:color="D0CECE" w:themeColor="background2" w:themeShade="E6"/>
              <w:left w:val="nil"/>
              <w:bottom w:val="single" w:sz="8" w:space="0" w:color="auto"/>
              <w:right w:val="nil"/>
            </w:tcBorders>
            <w:shd w:val="clear" w:color="000000" w:fill="FFFFFF"/>
            <w:noWrap/>
            <w:hideMark/>
          </w:tcPr>
          <w:p w14:paraId="1BDAE0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218,2</w:t>
            </w:r>
          </w:p>
        </w:tc>
        <w:tc>
          <w:tcPr>
            <w:tcW w:w="1105" w:type="dxa"/>
            <w:tcBorders>
              <w:top w:val="single" w:sz="4" w:space="0" w:color="D0CECE" w:themeColor="background2" w:themeShade="E6"/>
              <w:left w:val="nil"/>
              <w:bottom w:val="single" w:sz="8" w:space="0" w:color="auto"/>
              <w:right w:val="nil"/>
            </w:tcBorders>
            <w:shd w:val="clear" w:color="000000" w:fill="FFFFFF"/>
            <w:noWrap/>
            <w:hideMark/>
          </w:tcPr>
          <w:p w14:paraId="36DF60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(119,6)</w:t>
            </w:r>
          </w:p>
        </w:tc>
        <w:tc>
          <w:tcPr>
            <w:tcW w:w="504" w:type="dxa"/>
            <w:tcBorders>
              <w:top w:val="single" w:sz="4" w:space="0" w:color="D0CECE" w:themeColor="background2" w:themeShade="E6"/>
              <w:left w:val="nil"/>
              <w:bottom w:val="single" w:sz="8" w:space="0" w:color="auto"/>
              <w:right w:val="nil"/>
            </w:tcBorders>
            <w:shd w:val="clear" w:color="000000" w:fill="FFFFFF"/>
            <w:noWrap/>
            <w:hideMark/>
          </w:tcPr>
          <w:p w14:paraId="327D58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272,6</w:t>
            </w:r>
          </w:p>
        </w:tc>
        <w:tc>
          <w:tcPr>
            <w:tcW w:w="681" w:type="dxa"/>
            <w:tcBorders>
              <w:top w:val="single" w:sz="4" w:space="0" w:color="D0CECE" w:themeColor="background2" w:themeShade="E6"/>
              <w:left w:val="nil"/>
              <w:bottom w:val="single" w:sz="8" w:space="0" w:color="auto"/>
              <w:right w:val="nil"/>
            </w:tcBorders>
            <w:shd w:val="clear" w:color="000000" w:fill="FFFFFF"/>
            <w:noWrap/>
            <w:hideMark/>
          </w:tcPr>
          <w:p w14:paraId="0DBD4A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(139,5)</w:t>
            </w:r>
          </w:p>
        </w:tc>
        <w:tc>
          <w:tcPr>
            <w:tcW w:w="376" w:type="dxa"/>
            <w:tcBorders>
              <w:top w:val="single" w:sz="4" w:space="0" w:color="D0CECE" w:themeColor="background2" w:themeShade="E6"/>
              <w:left w:val="nil"/>
              <w:bottom w:val="single" w:sz="8" w:space="0" w:color="auto"/>
              <w:right w:val="nil"/>
            </w:tcBorders>
            <w:shd w:val="clear" w:color="000000" w:fill="FFFFFF"/>
            <w:noWrap/>
            <w:hideMark/>
          </w:tcPr>
          <w:p w14:paraId="31D3F4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4" w:space="0" w:color="D0CECE" w:themeColor="background2" w:themeShade="E6"/>
              <w:left w:val="nil"/>
              <w:bottom w:val="single" w:sz="8" w:space="0" w:color="auto"/>
              <w:right w:val="nil"/>
            </w:tcBorders>
            <w:shd w:val="clear" w:color="000000" w:fill="FFFFFF"/>
            <w:noWrap/>
            <w:hideMark/>
          </w:tcPr>
          <w:p w14:paraId="2B53A2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(565/565)</w:t>
            </w:r>
          </w:p>
        </w:tc>
        <w:tc>
          <w:tcPr>
            <w:tcW w:w="1221" w:type="dxa"/>
            <w:tcBorders>
              <w:top w:val="single" w:sz="4" w:space="0" w:color="D0CECE" w:themeColor="background2" w:themeShade="E6"/>
              <w:left w:val="nil"/>
              <w:bottom w:val="single" w:sz="8" w:space="0" w:color="auto"/>
              <w:right w:val="nil"/>
            </w:tcBorders>
            <w:shd w:val="clear" w:color="000000" w:fill="FFFFFF"/>
            <w:noWrap/>
            <w:hideMark/>
          </w:tcPr>
          <w:p w14:paraId="4281903C"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141,8</w:t>
            </w:r>
          </w:p>
        </w:tc>
        <w:tc>
          <w:tcPr>
            <w:tcW w:w="1467" w:type="dxa"/>
            <w:tcBorders>
              <w:top w:val="single" w:sz="4" w:space="0" w:color="D0CECE" w:themeColor="background2" w:themeShade="E6"/>
              <w:left w:val="nil"/>
              <w:bottom w:val="single" w:sz="8" w:space="0" w:color="auto"/>
              <w:right w:val="nil"/>
            </w:tcBorders>
            <w:shd w:val="clear" w:color="000000" w:fill="FFFFFF"/>
            <w:noWrap/>
            <w:hideMark/>
          </w:tcPr>
          <w:p w14:paraId="7F87193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108,4</w:t>
            </w:r>
          </w:p>
        </w:tc>
      </w:tr>
      <w:tr w:rsidR="002E4D99" w:rsidRPr="00367BEC" w14:paraId="5CEF2F16" w14:textId="77777777" w:rsidTr="00CF1C1E">
        <w:trPr>
          <w:trHeight w:val="20"/>
        </w:trPr>
        <w:tc>
          <w:tcPr>
            <w:tcW w:w="1292" w:type="dxa"/>
            <w:tcBorders>
              <w:top w:val="single" w:sz="8" w:space="0" w:color="auto"/>
              <w:left w:val="nil"/>
              <w:bottom w:val="nil"/>
              <w:right w:val="nil"/>
            </w:tcBorders>
            <w:shd w:val="clear" w:color="000000" w:fill="FFFFFF"/>
            <w:noWrap/>
            <w:hideMark/>
          </w:tcPr>
          <w:p w14:paraId="4C0397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Schwittay</w:t>
            </w:r>
            <w:proofErr w:type="spellEnd"/>
            <w:r w:rsidRPr="00367BEC">
              <w:rPr>
                <w:rFonts w:ascii="Times New Roman" w:hAnsi="Times New Roman"/>
                <w:color w:val="000000"/>
                <w:sz w:val="16"/>
              </w:rPr>
              <w:t xml:space="preserve"> 2013</w:t>
            </w:r>
          </w:p>
        </w:tc>
        <w:tc>
          <w:tcPr>
            <w:tcW w:w="1225" w:type="dxa"/>
            <w:tcBorders>
              <w:top w:val="nil"/>
              <w:left w:val="nil"/>
              <w:bottom w:val="single" w:sz="4" w:space="0" w:color="D0CECE" w:themeColor="background2" w:themeShade="E6"/>
              <w:right w:val="nil"/>
            </w:tcBorders>
            <w:shd w:val="clear" w:color="000000" w:fill="FFFFFF"/>
            <w:noWrap/>
            <w:hideMark/>
          </w:tcPr>
          <w:p w14:paraId="40EAF2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51" w:type="dxa"/>
            <w:tcBorders>
              <w:top w:val="nil"/>
              <w:left w:val="nil"/>
              <w:bottom w:val="single" w:sz="4" w:space="0" w:color="D0CECE" w:themeColor="background2" w:themeShade="E6"/>
              <w:right w:val="nil"/>
            </w:tcBorders>
            <w:shd w:val="clear" w:color="000000" w:fill="FFFFFF"/>
            <w:noWrap/>
            <w:hideMark/>
          </w:tcPr>
          <w:p w14:paraId="106C6C9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131,6</w:t>
            </w:r>
          </w:p>
        </w:tc>
        <w:tc>
          <w:tcPr>
            <w:tcW w:w="1060" w:type="dxa"/>
            <w:tcBorders>
              <w:top w:val="nil"/>
              <w:left w:val="nil"/>
              <w:bottom w:val="single" w:sz="4" w:space="0" w:color="D0CECE" w:themeColor="background2" w:themeShade="E6"/>
              <w:right w:val="nil"/>
            </w:tcBorders>
            <w:shd w:val="clear" w:color="000000" w:fill="FFFFFF"/>
            <w:noWrap/>
            <w:hideMark/>
          </w:tcPr>
          <w:p w14:paraId="2A8E37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(62,7)</w:t>
            </w:r>
          </w:p>
        </w:tc>
        <w:tc>
          <w:tcPr>
            <w:tcW w:w="416" w:type="dxa"/>
            <w:tcBorders>
              <w:top w:val="nil"/>
              <w:left w:val="nil"/>
              <w:bottom w:val="single" w:sz="4" w:space="0" w:color="D0CECE" w:themeColor="background2" w:themeShade="E6"/>
              <w:right w:val="nil"/>
            </w:tcBorders>
            <w:shd w:val="clear" w:color="000000" w:fill="FFFFFF"/>
            <w:noWrap/>
            <w:hideMark/>
          </w:tcPr>
          <w:p w14:paraId="2CE7387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nil"/>
              <w:left w:val="nil"/>
              <w:bottom w:val="single" w:sz="4" w:space="0" w:color="D0CECE" w:themeColor="background2" w:themeShade="E6"/>
              <w:right w:val="nil"/>
            </w:tcBorders>
            <w:shd w:val="clear" w:color="000000" w:fill="FFFFFF"/>
            <w:noWrap/>
            <w:hideMark/>
          </w:tcPr>
          <w:p w14:paraId="3D6D66B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(3134/3134)</w:t>
            </w:r>
          </w:p>
        </w:tc>
        <w:tc>
          <w:tcPr>
            <w:tcW w:w="479" w:type="dxa"/>
            <w:tcBorders>
              <w:top w:val="nil"/>
              <w:left w:val="nil"/>
              <w:bottom w:val="single" w:sz="4" w:space="0" w:color="D0CECE" w:themeColor="background2" w:themeShade="E6"/>
              <w:right w:val="nil"/>
            </w:tcBorders>
            <w:shd w:val="clear" w:color="000000" w:fill="FFFFFF"/>
            <w:noWrap/>
            <w:hideMark/>
          </w:tcPr>
          <w:p w14:paraId="290AA3F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186,9</w:t>
            </w:r>
          </w:p>
        </w:tc>
        <w:tc>
          <w:tcPr>
            <w:tcW w:w="1105" w:type="dxa"/>
            <w:tcBorders>
              <w:top w:val="nil"/>
              <w:left w:val="nil"/>
              <w:bottom w:val="single" w:sz="4" w:space="0" w:color="D0CECE" w:themeColor="background2" w:themeShade="E6"/>
              <w:right w:val="nil"/>
            </w:tcBorders>
            <w:shd w:val="clear" w:color="000000" w:fill="FFFFFF"/>
            <w:noWrap/>
            <w:hideMark/>
          </w:tcPr>
          <w:p w14:paraId="184135F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(94,0)</w:t>
            </w:r>
          </w:p>
        </w:tc>
        <w:tc>
          <w:tcPr>
            <w:tcW w:w="504" w:type="dxa"/>
            <w:tcBorders>
              <w:top w:val="nil"/>
              <w:left w:val="nil"/>
              <w:bottom w:val="single" w:sz="4" w:space="0" w:color="D0CECE" w:themeColor="background2" w:themeShade="E6"/>
              <w:right w:val="nil"/>
            </w:tcBorders>
            <w:shd w:val="clear" w:color="000000" w:fill="FFFFFF"/>
            <w:noWrap/>
            <w:hideMark/>
          </w:tcPr>
          <w:p w14:paraId="18C0FD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203,7</w:t>
            </w:r>
          </w:p>
        </w:tc>
        <w:tc>
          <w:tcPr>
            <w:tcW w:w="681" w:type="dxa"/>
            <w:tcBorders>
              <w:top w:val="nil"/>
              <w:left w:val="nil"/>
              <w:bottom w:val="single" w:sz="4" w:space="0" w:color="D0CECE" w:themeColor="background2" w:themeShade="E6"/>
              <w:right w:val="nil"/>
            </w:tcBorders>
            <w:shd w:val="clear" w:color="000000" w:fill="FFFFFF"/>
            <w:noWrap/>
            <w:hideMark/>
          </w:tcPr>
          <w:p w14:paraId="3EB7F8B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(102,4)</w:t>
            </w:r>
          </w:p>
        </w:tc>
        <w:tc>
          <w:tcPr>
            <w:tcW w:w="376" w:type="dxa"/>
            <w:tcBorders>
              <w:top w:val="nil"/>
              <w:left w:val="nil"/>
              <w:bottom w:val="single" w:sz="4" w:space="0" w:color="D0CECE" w:themeColor="background2" w:themeShade="E6"/>
              <w:right w:val="nil"/>
            </w:tcBorders>
            <w:shd w:val="clear" w:color="000000" w:fill="FFFFFF"/>
            <w:noWrap/>
            <w:hideMark/>
          </w:tcPr>
          <w:p w14:paraId="32CE6C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nil"/>
              <w:left w:val="nil"/>
              <w:bottom w:val="single" w:sz="4" w:space="0" w:color="D0CECE" w:themeColor="background2" w:themeShade="E6"/>
              <w:right w:val="nil"/>
            </w:tcBorders>
            <w:shd w:val="clear" w:color="000000" w:fill="FFFFFF"/>
            <w:noWrap/>
            <w:hideMark/>
          </w:tcPr>
          <w:p w14:paraId="34340E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(3134/3134)</w:t>
            </w:r>
          </w:p>
        </w:tc>
        <w:tc>
          <w:tcPr>
            <w:tcW w:w="1221" w:type="dxa"/>
            <w:tcBorders>
              <w:top w:val="nil"/>
              <w:left w:val="nil"/>
              <w:bottom w:val="single" w:sz="4" w:space="0" w:color="D0CECE" w:themeColor="background2" w:themeShade="E6"/>
              <w:right w:val="nil"/>
            </w:tcBorders>
            <w:shd w:val="clear" w:color="000000" w:fill="FFFFFF"/>
            <w:noWrap/>
            <w:hideMark/>
          </w:tcPr>
          <w:p w14:paraId="4C1BC87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72,1</w:t>
            </w:r>
          </w:p>
        </w:tc>
        <w:tc>
          <w:tcPr>
            <w:tcW w:w="1467" w:type="dxa"/>
            <w:tcBorders>
              <w:top w:val="nil"/>
              <w:left w:val="nil"/>
              <w:bottom w:val="single" w:sz="4" w:space="0" w:color="D0CECE" w:themeColor="background2" w:themeShade="E6"/>
              <w:right w:val="nil"/>
            </w:tcBorders>
            <w:shd w:val="clear" w:color="000000" w:fill="FFFFFF"/>
            <w:noWrap/>
            <w:hideMark/>
          </w:tcPr>
          <w:p w14:paraId="60E56F6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54,8</w:t>
            </w:r>
          </w:p>
        </w:tc>
      </w:tr>
      <w:tr w:rsidR="002E4D99" w:rsidRPr="00367BEC" w14:paraId="2D997E69" w14:textId="77777777" w:rsidTr="00CF1C1E">
        <w:trPr>
          <w:trHeight w:val="20"/>
        </w:trPr>
        <w:tc>
          <w:tcPr>
            <w:tcW w:w="1292" w:type="dxa"/>
            <w:tcBorders>
              <w:top w:val="nil"/>
              <w:left w:val="nil"/>
              <w:bottom w:val="nil"/>
              <w:right w:val="nil"/>
            </w:tcBorders>
            <w:shd w:val="clear" w:color="000000" w:fill="FFFFFF"/>
            <w:noWrap/>
            <w:hideMark/>
          </w:tcPr>
          <w:p w14:paraId="5EEE3E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single" w:sz="4" w:space="0" w:color="D0CECE" w:themeColor="background2" w:themeShade="E6"/>
              <w:left w:val="nil"/>
              <w:bottom w:val="single" w:sz="8" w:space="0" w:color="auto"/>
              <w:right w:val="nil"/>
            </w:tcBorders>
            <w:shd w:val="clear" w:color="000000" w:fill="FFFFFF"/>
            <w:noWrap/>
            <w:hideMark/>
          </w:tcPr>
          <w:p w14:paraId="74D04BF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w:t>
            </w:r>
            <w:proofErr w:type="spellStart"/>
            <w:r w:rsidRPr="00367BEC">
              <w:rPr>
                <w:rFonts w:ascii="Times New Roman" w:hAnsi="Times New Roman"/>
                <w:color w:val="000000"/>
                <w:sz w:val="16"/>
              </w:rPr>
              <w:t>PR</w:t>
            </w:r>
            <w:r w:rsidRPr="00367BEC">
              <w:rPr>
                <w:rFonts w:ascii="Times New Roman" w:hAnsi="Times New Roman"/>
                <w:b/>
                <w:color w:val="000000"/>
                <w:sz w:val="20"/>
                <w:vertAlign w:val="superscript"/>
              </w:rPr>
              <w:t>b</w:t>
            </w:r>
            <w:proofErr w:type="spellEnd"/>
          </w:p>
        </w:tc>
        <w:tc>
          <w:tcPr>
            <w:tcW w:w="451" w:type="dxa"/>
            <w:tcBorders>
              <w:top w:val="single" w:sz="4" w:space="0" w:color="D0CECE" w:themeColor="background2" w:themeShade="E6"/>
              <w:left w:val="nil"/>
              <w:bottom w:val="single" w:sz="8" w:space="0" w:color="auto"/>
              <w:right w:val="nil"/>
            </w:tcBorders>
            <w:shd w:val="clear" w:color="000000" w:fill="FFFFFF"/>
            <w:noWrap/>
            <w:hideMark/>
          </w:tcPr>
          <w:p w14:paraId="760061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148,4</w:t>
            </w:r>
          </w:p>
        </w:tc>
        <w:tc>
          <w:tcPr>
            <w:tcW w:w="1060" w:type="dxa"/>
            <w:tcBorders>
              <w:top w:val="single" w:sz="4" w:space="0" w:color="D0CECE" w:themeColor="background2" w:themeShade="E6"/>
              <w:left w:val="nil"/>
              <w:bottom w:val="single" w:sz="8" w:space="0" w:color="auto"/>
              <w:right w:val="nil"/>
            </w:tcBorders>
            <w:shd w:val="clear" w:color="000000" w:fill="FFFFFF"/>
            <w:noWrap/>
            <w:hideMark/>
          </w:tcPr>
          <w:p w14:paraId="07A7AE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(75,4)</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46CC2B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4" w:space="0" w:color="D0CECE" w:themeColor="background2" w:themeShade="E6"/>
              <w:left w:val="nil"/>
              <w:bottom w:val="single" w:sz="8" w:space="0" w:color="auto"/>
              <w:right w:val="nil"/>
            </w:tcBorders>
            <w:shd w:val="clear" w:color="000000" w:fill="FFFFFF"/>
            <w:noWrap/>
            <w:hideMark/>
          </w:tcPr>
          <w:p w14:paraId="21A893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(1331/1331)</w:t>
            </w:r>
          </w:p>
        </w:tc>
        <w:tc>
          <w:tcPr>
            <w:tcW w:w="479" w:type="dxa"/>
            <w:tcBorders>
              <w:top w:val="single" w:sz="4" w:space="0" w:color="D0CECE" w:themeColor="background2" w:themeShade="E6"/>
              <w:left w:val="nil"/>
              <w:bottom w:val="single" w:sz="8" w:space="0" w:color="auto"/>
              <w:right w:val="nil"/>
            </w:tcBorders>
            <w:shd w:val="clear" w:color="000000" w:fill="FFFFFF"/>
            <w:noWrap/>
            <w:hideMark/>
          </w:tcPr>
          <w:p w14:paraId="5B2BE9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single" w:sz="8" w:space="0" w:color="auto"/>
              <w:right w:val="nil"/>
            </w:tcBorders>
            <w:shd w:val="clear" w:color="000000" w:fill="FFFFFF"/>
            <w:noWrap/>
            <w:hideMark/>
          </w:tcPr>
          <w:p w14:paraId="3EBB02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4" w:space="0" w:color="D0CECE" w:themeColor="background2" w:themeShade="E6"/>
              <w:left w:val="nil"/>
              <w:bottom w:val="single" w:sz="8" w:space="0" w:color="auto"/>
              <w:right w:val="nil"/>
            </w:tcBorders>
            <w:shd w:val="clear" w:color="000000" w:fill="FFFFFF"/>
            <w:noWrap/>
            <w:hideMark/>
          </w:tcPr>
          <w:p w14:paraId="274B2A8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227,8</w:t>
            </w:r>
          </w:p>
        </w:tc>
        <w:tc>
          <w:tcPr>
            <w:tcW w:w="681" w:type="dxa"/>
            <w:tcBorders>
              <w:top w:val="single" w:sz="4" w:space="0" w:color="D0CECE" w:themeColor="background2" w:themeShade="E6"/>
              <w:left w:val="nil"/>
              <w:bottom w:val="single" w:sz="8" w:space="0" w:color="auto"/>
              <w:right w:val="nil"/>
            </w:tcBorders>
            <w:shd w:val="clear" w:color="000000" w:fill="FFFFFF"/>
            <w:noWrap/>
            <w:hideMark/>
          </w:tcPr>
          <w:p w14:paraId="09AA79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(108,8)</w:t>
            </w:r>
          </w:p>
        </w:tc>
        <w:tc>
          <w:tcPr>
            <w:tcW w:w="376" w:type="dxa"/>
            <w:tcBorders>
              <w:top w:val="single" w:sz="4" w:space="0" w:color="D0CECE" w:themeColor="background2" w:themeShade="E6"/>
              <w:left w:val="nil"/>
              <w:bottom w:val="single" w:sz="8" w:space="0" w:color="auto"/>
              <w:right w:val="nil"/>
            </w:tcBorders>
            <w:shd w:val="clear" w:color="000000" w:fill="FFFFFF"/>
            <w:noWrap/>
            <w:hideMark/>
          </w:tcPr>
          <w:p w14:paraId="6BF18C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4" w:space="0" w:color="D0CECE" w:themeColor="background2" w:themeShade="E6"/>
              <w:left w:val="nil"/>
              <w:bottom w:val="single" w:sz="8" w:space="0" w:color="auto"/>
              <w:right w:val="nil"/>
            </w:tcBorders>
            <w:shd w:val="clear" w:color="000000" w:fill="FFFFFF"/>
            <w:noWrap/>
            <w:hideMark/>
          </w:tcPr>
          <w:p w14:paraId="2CAFD8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(1331/1331)</w:t>
            </w:r>
          </w:p>
        </w:tc>
        <w:tc>
          <w:tcPr>
            <w:tcW w:w="1221" w:type="dxa"/>
            <w:tcBorders>
              <w:top w:val="single" w:sz="4" w:space="0" w:color="D0CECE" w:themeColor="background2" w:themeShade="E6"/>
              <w:left w:val="nil"/>
              <w:bottom w:val="single" w:sz="8" w:space="0" w:color="auto"/>
              <w:right w:val="nil"/>
            </w:tcBorders>
            <w:shd w:val="clear" w:color="000000" w:fill="FFFFFF"/>
            <w:noWrap/>
            <w:hideMark/>
          </w:tcPr>
          <w:p w14:paraId="7100D59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79,4</w:t>
            </w:r>
          </w:p>
        </w:tc>
        <w:tc>
          <w:tcPr>
            <w:tcW w:w="1467" w:type="dxa"/>
            <w:tcBorders>
              <w:top w:val="single" w:sz="4" w:space="0" w:color="D0CECE" w:themeColor="background2" w:themeShade="E6"/>
              <w:left w:val="nil"/>
              <w:bottom w:val="single" w:sz="8" w:space="0" w:color="auto"/>
              <w:right w:val="nil"/>
            </w:tcBorders>
            <w:shd w:val="clear" w:color="000000" w:fill="FFFFFF"/>
            <w:noWrap/>
            <w:hideMark/>
          </w:tcPr>
          <w:p w14:paraId="48101F9C"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53,5</w:t>
            </w:r>
          </w:p>
        </w:tc>
      </w:tr>
      <w:tr w:rsidR="002E4D99" w:rsidRPr="00367BEC" w14:paraId="2D97643D" w14:textId="77777777" w:rsidTr="00CF1C1E">
        <w:trPr>
          <w:trHeight w:val="20"/>
        </w:trPr>
        <w:tc>
          <w:tcPr>
            <w:tcW w:w="1292" w:type="dxa"/>
            <w:tcBorders>
              <w:top w:val="single" w:sz="8" w:space="0" w:color="auto"/>
              <w:left w:val="nil"/>
              <w:bottom w:val="nil"/>
              <w:right w:val="nil"/>
            </w:tcBorders>
            <w:shd w:val="clear" w:color="000000" w:fill="FFFFFF"/>
            <w:noWrap/>
            <w:hideMark/>
          </w:tcPr>
          <w:p w14:paraId="74935A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López 2016</w:t>
            </w:r>
          </w:p>
        </w:tc>
        <w:tc>
          <w:tcPr>
            <w:tcW w:w="1225" w:type="dxa"/>
            <w:tcBorders>
              <w:top w:val="nil"/>
              <w:left w:val="nil"/>
              <w:bottom w:val="nil"/>
              <w:right w:val="nil"/>
            </w:tcBorders>
            <w:shd w:val="clear" w:color="000000" w:fill="FFFFFF"/>
            <w:noWrap/>
            <w:hideMark/>
          </w:tcPr>
          <w:p w14:paraId="540BC66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11" w:type="dxa"/>
            <w:gridSpan w:val="2"/>
            <w:tcBorders>
              <w:top w:val="single" w:sz="8" w:space="0" w:color="auto"/>
              <w:left w:val="nil"/>
              <w:bottom w:val="nil"/>
              <w:right w:val="nil"/>
            </w:tcBorders>
            <w:shd w:val="clear" w:color="000000" w:fill="FFFFFF"/>
            <w:noWrap/>
            <w:hideMark/>
          </w:tcPr>
          <w:p w14:paraId="62C7C9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50,0</w:t>
            </w:r>
          </w:p>
        </w:tc>
        <w:tc>
          <w:tcPr>
            <w:tcW w:w="416" w:type="dxa"/>
            <w:tcBorders>
              <w:top w:val="nil"/>
              <w:left w:val="nil"/>
              <w:bottom w:val="nil"/>
              <w:right w:val="nil"/>
            </w:tcBorders>
            <w:shd w:val="clear" w:color="000000" w:fill="FFFFFF"/>
            <w:noWrap/>
            <w:hideMark/>
          </w:tcPr>
          <w:p w14:paraId="259073F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5,7</w:t>
            </w:r>
          </w:p>
        </w:tc>
        <w:tc>
          <w:tcPr>
            <w:tcW w:w="1096" w:type="dxa"/>
            <w:tcBorders>
              <w:top w:val="nil"/>
              <w:left w:val="nil"/>
              <w:bottom w:val="nil"/>
              <w:right w:val="nil"/>
            </w:tcBorders>
            <w:shd w:val="clear" w:color="000000" w:fill="FFFFFF"/>
            <w:noWrap/>
            <w:hideMark/>
          </w:tcPr>
          <w:p w14:paraId="31BCE8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(3/53)</w:t>
            </w:r>
          </w:p>
        </w:tc>
        <w:tc>
          <w:tcPr>
            <w:tcW w:w="479" w:type="dxa"/>
            <w:tcBorders>
              <w:top w:val="nil"/>
              <w:left w:val="nil"/>
              <w:bottom w:val="nil"/>
              <w:right w:val="nil"/>
            </w:tcBorders>
            <w:shd w:val="clear" w:color="000000" w:fill="FFFFFF"/>
            <w:noWrap/>
            <w:hideMark/>
          </w:tcPr>
          <w:p w14:paraId="371F0C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3D1FD8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nil"/>
              <w:right w:val="nil"/>
            </w:tcBorders>
            <w:shd w:val="clear" w:color="000000" w:fill="FFFFFF"/>
            <w:noWrap/>
            <w:hideMark/>
          </w:tcPr>
          <w:p w14:paraId="09C5444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nil"/>
              <w:right w:val="nil"/>
            </w:tcBorders>
            <w:shd w:val="clear" w:color="000000" w:fill="FFFFFF"/>
            <w:noWrap/>
            <w:hideMark/>
          </w:tcPr>
          <w:p w14:paraId="6FD9BB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nil"/>
              <w:right w:val="nil"/>
            </w:tcBorders>
            <w:shd w:val="clear" w:color="000000" w:fill="FFFFFF"/>
            <w:noWrap/>
            <w:hideMark/>
          </w:tcPr>
          <w:p w14:paraId="0EFAF7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nil"/>
              <w:right w:val="nil"/>
            </w:tcBorders>
            <w:shd w:val="clear" w:color="000000" w:fill="FFFFFF"/>
            <w:noWrap/>
            <w:hideMark/>
          </w:tcPr>
          <w:p w14:paraId="4CF8360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nil"/>
              <w:right w:val="nil"/>
            </w:tcBorders>
            <w:shd w:val="clear" w:color="000000" w:fill="FFFFFF"/>
            <w:noWrap/>
            <w:hideMark/>
          </w:tcPr>
          <w:p w14:paraId="693DF8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noWrap/>
            <w:hideMark/>
          </w:tcPr>
          <w:p w14:paraId="0976CC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8CABCD1" w14:textId="77777777" w:rsidTr="00CF1C1E">
        <w:trPr>
          <w:trHeight w:val="20"/>
        </w:trPr>
        <w:tc>
          <w:tcPr>
            <w:tcW w:w="1292" w:type="dxa"/>
            <w:tcBorders>
              <w:top w:val="nil"/>
              <w:left w:val="nil"/>
              <w:bottom w:val="single" w:sz="8" w:space="0" w:color="auto"/>
              <w:right w:val="nil"/>
            </w:tcBorders>
            <w:shd w:val="clear" w:color="000000" w:fill="FFFFFF"/>
            <w:noWrap/>
            <w:hideMark/>
          </w:tcPr>
          <w:p w14:paraId="23ED4C0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5" w:type="dxa"/>
            <w:tcBorders>
              <w:top w:val="nil"/>
              <w:left w:val="nil"/>
              <w:bottom w:val="single" w:sz="8" w:space="0" w:color="auto"/>
              <w:right w:val="nil"/>
            </w:tcBorders>
            <w:shd w:val="clear" w:color="000000" w:fill="FFFFFF"/>
            <w:noWrap/>
            <w:hideMark/>
          </w:tcPr>
          <w:p w14:paraId="6189A6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11" w:type="dxa"/>
            <w:gridSpan w:val="2"/>
            <w:tcBorders>
              <w:top w:val="nil"/>
              <w:left w:val="nil"/>
              <w:bottom w:val="single" w:sz="8" w:space="0" w:color="auto"/>
              <w:right w:val="nil"/>
            </w:tcBorders>
            <w:shd w:val="clear" w:color="000000" w:fill="FFFFFF"/>
            <w:noWrap/>
            <w:hideMark/>
          </w:tcPr>
          <w:p w14:paraId="78B2D7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100,0</w:t>
            </w:r>
          </w:p>
        </w:tc>
        <w:tc>
          <w:tcPr>
            <w:tcW w:w="416" w:type="dxa"/>
            <w:tcBorders>
              <w:top w:val="nil"/>
              <w:left w:val="nil"/>
              <w:bottom w:val="single" w:sz="8" w:space="0" w:color="auto"/>
              <w:right w:val="nil"/>
            </w:tcBorders>
            <w:shd w:val="clear" w:color="000000" w:fill="FFFFFF"/>
            <w:noWrap/>
            <w:hideMark/>
          </w:tcPr>
          <w:p w14:paraId="0006C56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94,3</w:t>
            </w:r>
          </w:p>
        </w:tc>
        <w:tc>
          <w:tcPr>
            <w:tcW w:w="1096" w:type="dxa"/>
            <w:tcBorders>
              <w:top w:val="nil"/>
              <w:left w:val="nil"/>
              <w:bottom w:val="single" w:sz="8" w:space="0" w:color="auto"/>
              <w:right w:val="nil"/>
            </w:tcBorders>
            <w:shd w:val="clear" w:color="000000" w:fill="FFFFFF"/>
            <w:noWrap/>
            <w:hideMark/>
          </w:tcPr>
          <w:p w14:paraId="1ECEF3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50</w:t>
            </w:r>
            <w:r w:rsidRPr="00367BEC">
              <w:rPr>
                <w:rFonts w:ascii="Times New Roman" w:hAnsi="Times New Roman"/>
                <w:color w:val="000000"/>
                <w:sz w:val="16"/>
              </w:rPr>
              <w:t>/53)</w:t>
            </w:r>
          </w:p>
        </w:tc>
        <w:tc>
          <w:tcPr>
            <w:tcW w:w="479" w:type="dxa"/>
            <w:tcBorders>
              <w:top w:val="nil"/>
              <w:left w:val="nil"/>
              <w:bottom w:val="single" w:sz="8" w:space="0" w:color="auto"/>
              <w:right w:val="nil"/>
            </w:tcBorders>
            <w:shd w:val="clear" w:color="000000" w:fill="FFFFFF"/>
            <w:noWrap/>
            <w:hideMark/>
          </w:tcPr>
          <w:p w14:paraId="0453F6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8" w:space="0" w:color="auto"/>
              <w:right w:val="nil"/>
            </w:tcBorders>
            <w:shd w:val="clear" w:color="000000" w:fill="FFFFFF"/>
            <w:noWrap/>
            <w:hideMark/>
          </w:tcPr>
          <w:p w14:paraId="24240B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single" w:sz="8" w:space="0" w:color="auto"/>
              <w:right w:val="nil"/>
            </w:tcBorders>
            <w:shd w:val="clear" w:color="000000" w:fill="FFFFFF"/>
            <w:noWrap/>
            <w:hideMark/>
          </w:tcPr>
          <w:p w14:paraId="15DB06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single" w:sz="8" w:space="0" w:color="auto"/>
              <w:right w:val="nil"/>
            </w:tcBorders>
            <w:shd w:val="clear" w:color="000000" w:fill="FFFFFF"/>
            <w:noWrap/>
            <w:hideMark/>
          </w:tcPr>
          <w:p w14:paraId="0E82CE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single" w:sz="8" w:space="0" w:color="auto"/>
              <w:right w:val="nil"/>
            </w:tcBorders>
            <w:shd w:val="clear" w:color="000000" w:fill="FFFFFF"/>
            <w:noWrap/>
            <w:hideMark/>
          </w:tcPr>
          <w:p w14:paraId="4B407D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single" w:sz="8" w:space="0" w:color="auto"/>
              <w:right w:val="nil"/>
            </w:tcBorders>
            <w:shd w:val="clear" w:color="000000" w:fill="FFFFFF"/>
            <w:noWrap/>
            <w:hideMark/>
          </w:tcPr>
          <w:p w14:paraId="041D398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single" w:sz="8" w:space="0" w:color="auto"/>
              <w:right w:val="nil"/>
            </w:tcBorders>
            <w:shd w:val="clear" w:color="000000" w:fill="FFFFFF"/>
            <w:noWrap/>
            <w:hideMark/>
          </w:tcPr>
          <w:p w14:paraId="7033D4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single" w:sz="8" w:space="0" w:color="auto"/>
              <w:right w:val="nil"/>
            </w:tcBorders>
            <w:shd w:val="clear" w:color="000000" w:fill="FFFFFF"/>
            <w:noWrap/>
            <w:hideMark/>
          </w:tcPr>
          <w:p w14:paraId="0F7CFB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1EA88D0" w14:textId="77777777" w:rsidTr="00CF1C1E">
        <w:trPr>
          <w:trHeight w:val="20"/>
        </w:trPr>
        <w:tc>
          <w:tcPr>
            <w:tcW w:w="1292" w:type="dxa"/>
            <w:tcBorders>
              <w:top w:val="nil"/>
              <w:left w:val="nil"/>
              <w:bottom w:val="single" w:sz="8" w:space="0" w:color="auto"/>
              <w:right w:val="nil"/>
            </w:tcBorders>
            <w:shd w:val="clear" w:color="000000" w:fill="FFFFFF"/>
            <w:noWrap/>
            <w:vAlign w:val="bottom"/>
            <w:hideMark/>
          </w:tcPr>
          <w:p w14:paraId="24BA76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Brunetti 2016</w:t>
            </w:r>
          </w:p>
        </w:tc>
        <w:tc>
          <w:tcPr>
            <w:tcW w:w="1225" w:type="dxa"/>
            <w:tcBorders>
              <w:top w:val="nil"/>
              <w:left w:val="nil"/>
              <w:bottom w:val="single" w:sz="8" w:space="0" w:color="auto"/>
              <w:right w:val="nil"/>
            </w:tcBorders>
            <w:shd w:val="clear" w:color="000000" w:fill="FFFFFF"/>
            <w:noWrap/>
            <w:vAlign w:val="bottom"/>
            <w:hideMark/>
          </w:tcPr>
          <w:p w14:paraId="204F4ED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11" w:type="dxa"/>
            <w:gridSpan w:val="2"/>
            <w:tcBorders>
              <w:top w:val="nil"/>
              <w:left w:val="nil"/>
              <w:bottom w:val="single" w:sz="8" w:space="0" w:color="auto"/>
              <w:right w:val="nil"/>
            </w:tcBorders>
            <w:shd w:val="clear" w:color="000000" w:fill="FFFFFF"/>
            <w:noWrap/>
            <w:vAlign w:val="bottom"/>
            <w:hideMark/>
          </w:tcPr>
          <w:p w14:paraId="1D90C64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100,0</w:t>
            </w:r>
          </w:p>
        </w:tc>
        <w:tc>
          <w:tcPr>
            <w:tcW w:w="416" w:type="dxa"/>
            <w:tcBorders>
              <w:top w:val="nil"/>
              <w:left w:val="nil"/>
              <w:bottom w:val="single" w:sz="8" w:space="0" w:color="auto"/>
              <w:right w:val="nil"/>
            </w:tcBorders>
            <w:shd w:val="clear" w:color="000000" w:fill="FFFFFF"/>
            <w:noWrap/>
            <w:vAlign w:val="bottom"/>
            <w:hideMark/>
          </w:tcPr>
          <w:p w14:paraId="56137DC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86,0</w:t>
            </w:r>
          </w:p>
        </w:tc>
        <w:tc>
          <w:tcPr>
            <w:tcW w:w="1096" w:type="dxa"/>
            <w:tcBorders>
              <w:top w:val="nil"/>
              <w:left w:val="nil"/>
              <w:bottom w:val="single" w:sz="8" w:space="0" w:color="auto"/>
              <w:right w:val="nil"/>
            </w:tcBorders>
            <w:shd w:val="clear" w:color="000000" w:fill="FFFFFF"/>
            <w:noWrap/>
            <w:vAlign w:val="bottom"/>
            <w:hideMark/>
          </w:tcPr>
          <w:p w14:paraId="44CC98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(31/36)</w:t>
            </w:r>
          </w:p>
        </w:tc>
        <w:tc>
          <w:tcPr>
            <w:tcW w:w="479" w:type="dxa"/>
            <w:tcBorders>
              <w:top w:val="nil"/>
              <w:left w:val="nil"/>
              <w:bottom w:val="single" w:sz="8" w:space="0" w:color="auto"/>
              <w:right w:val="nil"/>
            </w:tcBorders>
            <w:shd w:val="clear" w:color="000000" w:fill="FFFFFF"/>
            <w:noWrap/>
            <w:vAlign w:val="bottom"/>
            <w:hideMark/>
          </w:tcPr>
          <w:p w14:paraId="77F8C29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8" w:space="0" w:color="auto"/>
              <w:right w:val="nil"/>
            </w:tcBorders>
            <w:shd w:val="clear" w:color="000000" w:fill="FFFFFF"/>
            <w:noWrap/>
            <w:vAlign w:val="bottom"/>
            <w:hideMark/>
          </w:tcPr>
          <w:p w14:paraId="1D4EB6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single" w:sz="8" w:space="0" w:color="auto"/>
              <w:right w:val="nil"/>
            </w:tcBorders>
            <w:shd w:val="clear" w:color="000000" w:fill="FFFFFF"/>
            <w:noWrap/>
            <w:vAlign w:val="bottom"/>
            <w:hideMark/>
          </w:tcPr>
          <w:p w14:paraId="6FC8F3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81" w:type="dxa"/>
            <w:tcBorders>
              <w:top w:val="nil"/>
              <w:left w:val="nil"/>
              <w:bottom w:val="single" w:sz="8" w:space="0" w:color="auto"/>
              <w:right w:val="nil"/>
            </w:tcBorders>
            <w:shd w:val="clear" w:color="000000" w:fill="FFFFFF"/>
            <w:noWrap/>
            <w:vAlign w:val="bottom"/>
            <w:hideMark/>
          </w:tcPr>
          <w:p w14:paraId="0B2E911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76" w:type="dxa"/>
            <w:tcBorders>
              <w:top w:val="nil"/>
              <w:left w:val="nil"/>
              <w:bottom w:val="single" w:sz="8" w:space="0" w:color="auto"/>
              <w:right w:val="nil"/>
            </w:tcBorders>
            <w:shd w:val="clear" w:color="000000" w:fill="FFFFFF"/>
            <w:noWrap/>
            <w:vAlign w:val="bottom"/>
            <w:hideMark/>
          </w:tcPr>
          <w:p w14:paraId="1480A4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904" w:type="dxa"/>
            <w:tcBorders>
              <w:top w:val="nil"/>
              <w:left w:val="nil"/>
              <w:bottom w:val="single" w:sz="8" w:space="0" w:color="auto"/>
              <w:right w:val="nil"/>
            </w:tcBorders>
            <w:shd w:val="clear" w:color="000000" w:fill="FFFFFF"/>
            <w:noWrap/>
            <w:vAlign w:val="bottom"/>
            <w:hideMark/>
          </w:tcPr>
          <w:p w14:paraId="262ED7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1" w:type="dxa"/>
            <w:tcBorders>
              <w:top w:val="nil"/>
              <w:left w:val="nil"/>
              <w:bottom w:val="single" w:sz="8" w:space="0" w:color="auto"/>
              <w:right w:val="nil"/>
            </w:tcBorders>
            <w:shd w:val="clear" w:color="000000" w:fill="FFFFFF"/>
            <w:noWrap/>
            <w:vAlign w:val="bottom"/>
            <w:hideMark/>
          </w:tcPr>
          <w:p w14:paraId="6E03E2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single" w:sz="8" w:space="0" w:color="auto"/>
              <w:right w:val="nil"/>
            </w:tcBorders>
            <w:shd w:val="clear" w:color="000000" w:fill="FFFFFF"/>
            <w:noWrap/>
            <w:vAlign w:val="bottom"/>
            <w:hideMark/>
          </w:tcPr>
          <w:p w14:paraId="262484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353B2E3" w14:textId="77777777" w:rsidTr="00CF1C1E">
        <w:trPr>
          <w:trHeight w:val="20"/>
        </w:trPr>
        <w:tc>
          <w:tcPr>
            <w:tcW w:w="1292" w:type="dxa"/>
            <w:tcBorders>
              <w:top w:val="nil"/>
              <w:left w:val="nil"/>
              <w:bottom w:val="nil"/>
              <w:right w:val="nil"/>
            </w:tcBorders>
            <w:shd w:val="clear" w:color="000000" w:fill="FFFFFF"/>
            <w:noWrap/>
            <w:hideMark/>
          </w:tcPr>
          <w:p w14:paraId="7D8F863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Coluzzi</w:t>
            </w:r>
            <w:proofErr w:type="spellEnd"/>
            <w:r w:rsidRPr="00367BEC">
              <w:rPr>
                <w:rFonts w:ascii="Times New Roman" w:hAnsi="Times New Roman"/>
                <w:color w:val="000000"/>
                <w:sz w:val="16"/>
              </w:rPr>
              <w:t xml:space="preserve"> 2015</w:t>
            </w:r>
          </w:p>
        </w:tc>
        <w:tc>
          <w:tcPr>
            <w:tcW w:w="1225" w:type="dxa"/>
            <w:tcBorders>
              <w:top w:val="nil"/>
              <w:left w:val="nil"/>
              <w:bottom w:val="nil"/>
              <w:right w:val="nil"/>
            </w:tcBorders>
            <w:shd w:val="clear" w:color="000000" w:fill="FFFFFF"/>
            <w:noWrap/>
            <w:hideMark/>
          </w:tcPr>
          <w:p w14:paraId="061C4F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51" w:type="dxa"/>
            <w:tcBorders>
              <w:top w:val="nil"/>
              <w:left w:val="nil"/>
              <w:bottom w:val="single" w:sz="8" w:space="0" w:color="auto"/>
              <w:right w:val="nil"/>
            </w:tcBorders>
            <w:shd w:val="clear" w:color="000000" w:fill="FFFFFF"/>
            <w:noWrap/>
            <w:hideMark/>
          </w:tcPr>
          <w:p w14:paraId="071A67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100,0</w:t>
            </w:r>
          </w:p>
        </w:tc>
        <w:tc>
          <w:tcPr>
            <w:tcW w:w="1060" w:type="dxa"/>
            <w:tcBorders>
              <w:top w:val="nil"/>
              <w:left w:val="nil"/>
              <w:bottom w:val="single" w:sz="8" w:space="0" w:color="auto"/>
              <w:right w:val="nil"/>
            </w:tcBorders>
            <w:shd w:val="clear" w:color="000000" w:fill="FFFFFF"/>
            <w:noWrap/>
            <w:hideMark/>
          </w:tcPr>
          <w:p w14:paraId="1B0669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(0,0)</w:t>
            </w:r>
          </w:p>
        </w:tc>
        <w:tc>
          <w:tcPr>
            <w:tcW w:w="416" w:type="dxa"/>
            <w:tcBorders>
              <w:top w:val="nil"/>
              <w:left w:val="nil"/>
              <w:bottom w:val="nil"/>
              <w:right w:val="nil"/>
            </w:tcBorders>
            <w:shd w:val="clear" w:color="000000" w:fill="FFFFFF"/>
            <w:noWrap/>
            <w:hideMark/>
          </w:tcPr>
          <w:p w14:paraId="600DF1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nil"/>
              <w:left w:val="nil"/>
              <w:bottom w:val="nil"/>
              <w:right w:val="nil"/>
            </w:tcBorders>
            <w:shd w:val="clear" w:color="000000" w:fill="FFFFFF"/>
            <w:noWrap/>
            <w:hideMark/>
          </w:tcPr>
          <w:p w14:paraId="1202B3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(25/25)</w:t>
            </w:r>
          </w:p>
        </w:tc>
        <w:tc>
          <w:tcPr>
            <w:tcW w:w="479" w:type="dxa"/>
            <w:tcBorders>
              <w:top w:val="nil"/>
              <w:left w:val="nil"/>
              <w:bottom w:val="nil"/>
              <w:right w:val="nil"/>
            </w:tcBorders>
            <w:shd w:val="clear" w:color="000000" w:fill="FFFFFF"/>
            <w:noWrap/>
            <w:hideMark/>
          </w:tcPr>
          <w:p w14:paraId="0CB0B1C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71A1C8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nil"/>
              <w:left w:val="nil"/>
              <w:bottom w:val="nil"/>
              <w:right w:val="nil"/>
            </w:tcBorders>
            <w:shd w:val="clear" w:color="000000" w:fill="FFFFFF"/>
            <w:noWrap/>
            <w:hideMark/>
          </w:tcPr>
          <w:p w14:paraId="668E59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213,6</w:t>
            </w:r>
          </w:p>
        </w:tc>
        <w:tc>
          <w:tcPr>
            <w:tcW w:w="681" w:type="dxa"/>
            <w:tcBorders>
              <w:top w:val="nil"/>
              <w:left w:val="nil"/>
              <w:bottom w:val="nil"/>
              <w:right w:val="nil"/>
            </w:tcBorders>
            <w:shd w:val="clear" w:color="000000" w:fill="FFFFFF"/>
            <w:noWrap/>
            <w:hideMark/>
          </w:tcPr>
          <w:p w14:paraId="7E09F65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(94,1)</w:t>
            </w:r>
          </w:p>
        </w:tc>
        <w:tc>
          <w:tcPr>
            <w:tcW w:w="376" w:type="dxa"/>
            <w:tcBorders>
              <w:top w:val="nil"/>
              <w:left w:val="nil"/>
              <w:bottom w:val="nil"/>
              <w:right w:val="nil"/>
            </w:tcBorders>
            <w:shd w:val="clear" w:color="000000" w:fill="FFFFFF"/>
            <w:noWrap/>
            <w:hideMark/>
          </w:tcPr>
          <w:p w14:paraId="5F3BC9C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nil"/>
              <w:left w:val="nil"/>
              <w:bottom w:val="nil"/>
              <w:right w:val="nil"/>
            </w:tcBorders>
            <w:shd w:val="clear" w:color="000000" w:fill="FFFFFF"/>
            <w:noWrap/>
            <w:hideMark/>
          </w:tcPr>
          <w:p w14:paraId="13B8F2C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(22/22)</w:t>
            </w:r>
          </w:p>
        </w:tc>
        <w:tc>
          <w:tcPr>
            <w:tcW w:w="1221" w:type="dxa"/>
            <w:tcBorders>
              <w:top w:val="nil"/>
              <w:left w:val="nil"/>
              <w:bottom w:val="nil"/>
              <w:right w:val="nil"/>
            </w:tcBorders>
            <w:shd w:val="clear" w:color="000000" w:fill="FFFFFF"/>
            <w:noWrap/>
            <w:hideMark/>
          </w:tcPr>
          <w:p w14:paraId="394645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113,6</w:t>
            </w:r>
          </w:p>
        </w:tc>
        <w:tc>
          <w:tcPr>
            <w:tcW w:w="1467" w:type="dxa"/>
            <w:tcBorders>
              <w:top w:val="nil"/>
              <w:left w:val="nil"/>
              <w:bottom w:val="nil"/>
              <w:right w:val="nil"/>
            </w:tcBorders>
            <w:shd w:val="clear" w:color="000000" w:fill="FFFFFF"/>
            <w:noWrap/>
            <w:hideMark/>
          </w:tcPr>
          <w:p w14:paraId="57EE12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113,6</w:t>
            </w:r>
          </w:p>
        </w:tc>
      </w:tr>
      <w:tr w:rsidR="002E4D99" w:rsidRPr="00367BEC" w14:paraId="22790260" w14:textId="77777777" w:rsidTr="00CF1C1E">
        <w:trPr>
          <w:trHeight w:val="20"/>
        </w:trPr>
        <w:tc>
          <w:tcPr>
            <w:tcW w:w="1292" w:type="dxa"/>
            <w:tcBorders>
              <w:top w:val="single" w:sz="8" w:space="0" w:color="auto"/>
              <w:left w:val="nil"/>
              <w:bottom w:val="nil"/>
              <w:right w:val="nil"/>
            </w:tcBorders>
            <w:shd w:val="clear" w:color="000000" w:fill="FFFFFF"/>
            <w:noWrap/>
            <w:hideMark/>
          </w:tcPr>
          <w:p w14:paraId="1D0290B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Schwenke</w:t>
            </w:r>
            <w:proofErr w:type="spellEnd"/>
            <w:r w:rsidRPr="00367BEC">
              <w:rPr>
                <w:rFonts w:ascii="Times New Roman" w:hAnsi="Times New Roman"/>
                <w:color w:val="000000"/>
                <w:sz w:val="16"/>
              </w:rPr>
              <w:t xml:space="preserve"> 2015</w:t>
            </w:r>
          </w:p>
        </w:tc>
        <w:tc>
          <w:tcPr>
            <w:tcW w:w="1225" w:type="dxa"/>
            <w:tcBorders>
              <w:top w:val="single" w:sz="8" w:space="0" w:color="auto"/>
              <w:left w:val="nil"/>
              <w:bottom w:val="nil"/>
              <w:right w:val="nil"/>
            </w:tcBorders>
            <w:shd w:val="clear" w:color="000000" w:fill="FFFFFF"/>
            <w:noWrap/>
            <w:hideMark/>
          </w:tcPr>
          <w:p w14:paraId="0675DB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51" w:type="dxa"/>
            <w:tcBorders>
              <w:top w:val="nil"/>
              <w:left w:val="nil"/>
              <w:bottom w:val="single" w:sz="8" w:space="0" w:color="auto"/>
              <w:right w:val="nil"/>
            </w:tcBorders>
            <w:shd w:val="clear" w:color="000000" w:fill="FFFFFF"/>
            <w:noWrap/>
            <w:hideMark/>
          </w:tcPr>
          <w:p w14:paraId="72737B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140,6</w:t>
            </w:r>
          </w:p>
        </w:tc>
        <w:tc>
          <w:tcPr>
            <w:tcW w:w="1060" w:type="dxa"/>
            <w:tcBorders>
              <w:top w:val="nil"/>
              <w:left w:val="nil"/>
              <w:bottom w:val="single" w:sz="8" w:space="0" w:color="auto"/>
              <w:right w:val="nil"/>
            </w:tcBorders>
            <w:shd w:val="clear" w:color="000000" w:fill="FFFFFF"/>
            <w:noWrap/>
            <w:hideMark/>
          </w:tcPr>
          <w:p w14:paraId="5363EB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(71,4)</w:t>
            </w:r>
          </w:p>
        </w:tc>
        <w:tc>
          <w:tcPr>
            <w:tcW w:w="416" w:type="dxa"/>
            <w:tcBorders>
              <w:top w:val="single" w:sz="8" w:space="0" w:color="auto"/>
              <w:left w:val="nil"/>
              <w:bottom w:val="nil"/>
              <w:right w:val="nil"/>
            </w:tcBorders>
            <w:shd w:val="clear" w:color="000000" w:fill="FFFFFF"/>
            <w:noWrap/>
            <w:hideMark/>
          </w:tcPr>
          <w:p w14:paraId="3B5B31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8" w:space="0" w:color="auto"/>
              <w:left w:val="nil"/>
              <w:bottom w:val="nil"/>
              <w:right w:val="nil"/>
            </w:tcBorders>
            <w:shd w:val="clear" w:color="000000" w:fill="FFFFFF"/>
            <w:noWrap/>
            <w:hideMark/>
          </w:tcPr>
          <w:p w14:paraId="348EB2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(143/143)</w:t>
            </w:r>
          </w:p>
        </w:tc>
        <w:tc>
          <w:tcPr>
            <w:tcW w:w="479" w:type="dxa"/>
            <w:tcBorders>
              <w:top w:val="single" w:sz="8" w:space="0" w:color="auto"/>
              <w:left w:val="nil"/>
              <w:bottom w:val="nil"/>
              <w:right w:val="nil"/>
            </w:tcBorders>
            <w:shd w:val="clear" w:color="000000" w:fill="FFFFFF"/>
            <w:noWrap/>
            <w:hideMark/>
          </w:tcPr>
          <w:p w14:paraId="616BC9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206,8</w:t>
            </w:r>
          </w:p>
        </w:tc>
        <w:tc>
          <w:tcPr>
            <w:tcW w:w="1105" w:type="dxa"/>
            <w:tcBorders>
              <w:top w:val="single" w:sz="8" w:space="0" w:color="auto"/>
              <w:left w:val="nil"/>
              <w:bottom w:val="single" w:sz="8" w:space="0" w:color="auto"/>
              <w:right w:val="nil"/>
            </w:tcBorders>
            <w:shd w:val="clear" w:color="000000" w:fill="FFFFFF"/>
            <w:noWrap/>
            <w:hideMark/>
          </w:tcPr>
          <w:p w14:paraId="7F1115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(105,1)</w:t>
            </w:r>
          </w:p>
        </w:tc>
        <w:tc>
          <w:tcPr>
            <w:tcW w:w="504" w:type="dxa"/>
            <w:tcBorders>
              <w:top w:val="single" w:sz="8" w:space="0" w:color="auto"/>
              <w:left w:val="nil"/>
              <w:bottom w:val="nil"/>
              <w:right w:val="nil"/>
            </w:tcBorders>
            <w:shd w:val="clear" w:color="000000" w:fill="FFFFFF"/>
            <w:noWrap/>
            <w:hideMark/>
          </w:tcPr>
          <w:p w14:paraId="4D66D6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223,1</w:t>
            </w:r>
          </w:p>
        </w:tc>
        <w:tc>
          <w:tcPr>
            <w:tcW w:w="681" w:type="dxa"/>
            <w:tcBorders>
              <w:top w:val="single" w:sz="8" w:space="0" w:color="auto"/>
              <w:left w:val="nil"/>
              <w:bottom w:val="nil"/>
              <w:right w:val="nil"/>
            </w:tcBorders>
            <w:shd w:val="clear" w:color="000000" w:fill="FFFFFF"/>
            <w:noWrap/>
            <w:hideMark/>
          </w:tcPr>
          <w:p w14:paraId="7D4CA8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(111,4)</w:t>
            </w:r>
          </w:p>
        </w:tc>
        <w:tc>
          <w:tcPr>
            <w:tcW w:w="376" w:type="dxa"/>
            <w:tcBorders>
              <w:top w:val="single" w:sz="8" w:space="0" w:color="auto"/>
              <w:left w:val="nil"/>
              <w:bottom w:val="nil"/>
              <w:right w:val="nil"/>
            </w:tcBorders>
            <w:shd w:val="clear" w:color="000000" w:fill="FFFFFF"/>
            <w:noWrap/>
            <w:hideMark/>
          </w:tcPr>
          <w:p w14:paraId="00D90D6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8" w:space="0" w:color="auto"/>
              <w:left w:val="nil"/>
              <w:bottom w:val="nil"/>
              <w:right w:val="nil"/>
            </w:tcBorders>
            <w:shd w:val="clear" w:color="000000" w:fill="FFFFFF"/>
            <w:noWrap/>
            <w:hideMark/>
          </w:tcPr>
          <w:p w14:paraId="21E36E3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(129/129)</w:t>
            </w:r>
          </w:p>
        </w:tc>
        <w:tc>
          <w:tcPr>
            <w:tcW w:w="1221" w:type="dxa"/>
            <w:tcBorders>
              <w:top w:val="single" w:sz="8" w:space="0" w:color="auto"/>
              <w:left w:val="nil"/>
              <w:bottom w:val="nil"/>
              <w:right w:val="nil"/>
            </w:tcBorders>
            <w:shd w:val="clear" w:color="000000" w:fill="FFFFFF"/>
            <w:noWrap/>
            <w:hideMark/>
          </w:tcPr>
          <w:p w14:paraId="2D076F3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82,5</w:t>
            </w:r>
          </w:p>
        </w:tc>
        <w:tc>
          <w:tcPr>
            <w:tcW w:w="1467" w:type="dxa"/>
            <w:tcBorders>
              <w:top w:val="single" w:sz="8" w:space="0" w:color="auto"/>
              <w:left w:val="nil"/>
              <w:bottom w:val="nil"/>
              <w:right w:val="nil"/>
            </w:tcBorders>
            <w:shd w:val="clear" w:color="000000" w:fill="FFFFFF"/>
            <w:noWrap/>
            <w:hideMark/>
          </w:tcPr>
          <w:p w14:paraId="1141C0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58,7</w:t>
            </w:r>
          </w:p>
        </w:tc>
      </w:tr>
      <w:tr w:rsidR="002E4D99" w:rsidRPr="00367BEC" w14:paraId="420704CB" w14:textId="77777777" w:rsidTr="00CF1C1E">
        <w:trPr>
          <w:trHeight w:val="20"/>
        </w:trPr>
        <w:tc>
          <w:tcPr>
            <w:tcW w:w="1292" w:type="dxa"/>
            <w:tcBorders>
              <w:top w:val="single" w:sz="8" w:space="0" w:color="auto"/>
              <w:left w:val="nil"/>
              <w:bottom w:val="nil"/>
              <w:right w:val="nil"/>
            </w:tcBorders>
            <w:shd w:val="clear" w:color="000000" w:fill="FFFFFF"/>
            <w:noWrap/>
            <w:hideMark/>
          </w:tcPr>
          <w:p w14:paraId="175CD1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Schikowski</w:t>
            </w:r>
            <w:proofErr w:type="spellEnd"/>
            <w:r w:rsidRPr="00367BEC">
              <w:rPr>
                <w:rFonts w:ascii="Times New Roman" w:hAnsi="Times New Roman"/>
                <w:color w:val="000000"/>
                <w:sz w:val="16"/>
              </w:rPr>
              <w:t xml:space="preserve"> 2015</w:t>
            </w:r>
          </w:p>
        </w:tc>
        <w:tc>
          <w:tcPr>
            <w:tcW w:w="1225" w:type="dxa"/>
            <w:tcBorders>
              <w:top w:val="single" w:sz="8" w:space="0" w:color="auto"/>
              <w:left w:val="nil"/>
              <w:bottom w:val="nil"/>
              <w:right w:val="nil"/>
            </w:tcBorders>
            <w:shd w:val="clear" w:color="000000" w:fill="FFFFFF"/>
            <w:noWrap/>
            <w:hideMark/>
          </w:tcPr>
          <w:p w14:paraId="5EE42C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451" w:type="dxa"/>
            <w:tcBorders>
              <w:top w:val="nil"/>
              <w:left w:val="nil"/>
              <w:bottom w:val="nil"/>
              <w:right w:val="nil"/>
            </w:tcBorders>
            <w:shd w:val="clear" w:color="000000" w:fill="FFFFFF"/>
            <w:noWrap/>
            <w:hideMark/>
          </w:tcPr>
          <w:p w14:paraId="727CD29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141,8</w:t>
            </w:r>
          </w:p>
        </w:tc>
        <w:tc>
          <w:tcPr>
            <w:tcW w:w="1060" w:type="dxa"/>
            <w:tcBorders>
              <w:top w:val="nil"/>
              <w:left w:val="nil"/>
              <w:bottom w:val="single" w:sz="8" w:space="0" w:color="auto"/>
              <w:right w:val="nil"/>
            </w:tcBorders>
            <w:shd w:val="clear" w:color="000000" w:fill="FFFFFF"/>
            <w:noWrap/>
            <w:hideMark/>
          </w:tcPr>
          <w:p w14:paraId="39A918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(75,6)</w:t>
            </w:r>
          </w:p>
        </w:tc>
        <w:tc>
          <w:tcPr>
            <w:tcW w:w="416" w:type="dxa"/>
            <w:tcBorders>
              <w:top w:val="single" w:sz="8" w:space="0" w:color="auto"/>
              <w:left w:val="nil"/>
              <w:bottom w:val="nil"/>
              <w:right w:val="nil"/>
            </w:tcBorders>
            <w:shd w:val="clear" w:color="000000" w:fill="FFFFFF"/>
            <w:noWrap/>
            <w:hideMark/>
          </w:tcPr>
          <w:p w14:paraId="272EC71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8" w:space="0" w:color="auto"/>
              <w:left w:val="nil"/>
              <w:bottom w:val="nil"/>
              <w:right w:val="nil"/>
            </w:tcBorders>
            <w:shd w:val="clear" w:color="000000" w:fill="FFFFFF"/>
            <w:noWrap/>
            <w:hideMark/>
          </w:tcPr>
          <w:p w14:paraId="4897B82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(123/123)</w:t>
            </w:r>
          </w:p>
        </w:tc>
        <w:tc>
          <w:tcPr>
            <w:tcW w:w="479" w:type="dxa"/>
            <w:tcBorders>
              <w:top w:val="single" w:sz="8" w:space="0" w:color="auto"/>
              <w:left w:val="nil"/>
              <w:bottom w:val="nil"/>
              <w:right w:val="nil"/>
            </w:tcBorders>
            <w:shd w:val="clear" w:color="000000" w:fill="FFFFFF"/>
            <w:noWrap/>
            <w:hideMark/>
          </w:tcPr>
          <w:p w14:paraId="7F7FCB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64BBC8A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8" w:space="0" w:color="auto"/>
              <w:left w:val="nil"/>
              <w:bottom w:val="nil"/>
              <w:right w:val="nil"/>
            </w:tcBorders>
            <w:shd w:val="clear" w:color="000000" w:fill="FFFFFF"/>
            <w:noWrap/>
            <w:hideMark/>
          </w:tcPr>
          <w:p w14:paraId="130C93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286,7</w:t>
            </w:r>
          </w:p>
        </w:tc>
        <w:tc>
          <w:tcPr>
            <w:tcW w:w="681" w:type="dxa"/>
            <w:tcBorders>
              <w:top w:val="single" w:sz="8" w:space="0" w:color="auto"/>
              <w:left w:val="nil"/>
              <w:bottom w:val="nil"/>
              <w:right w:val="nil"/>
            </w:tcBorders>
            <w:shd w:val="clear" w:color="000000" w:fill="FFFFFF"/>
            <w:noWrap/>
            <w:hideMark/>
          </w:tcPr>
          <w:p w14:paraId="64945B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(139,8)</w:t>
            </w:r>
          </w:p>
        </w:tc>
        <w:tc>
          <w:tcPr>
            <w:tcW w:w="376" w:type="dxa"/>
            <w:tcBorders>
              <w:top w:val="single" w:sz="8" w:space="0" w:color="auto"/>
              <w:left w:val="nil"/>
              <w:bottom w:val="nil"/>
              <w:right w:val="nil"/>
            </w:tcBorders>
            <w:shd w:val="clear" w:color="000000" w:fill="FFFFFF"/>
            <w:noWrap/>
            <w:hideMark/>
          </w:tcPr>
          <w:p w14:paraId="2A7499D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8" w:space="0" w:color="auto"/>
              <w:left w:val="nil"/>
              <w:bottom w:val="nil"/>
              <w:right w:val="nil"/>
            </w:tcBorders>
            <w:shd w:val="clear" w:color="000000" w:fill="FFFFFF"/>
            <w:noWrap/>
            <w:hideMark/>
          </w:tcPr>
          <w:p w14:paraId="563DE0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(123/123)</w:t>
            </w:r>
          </w:p>
        </w:tc>
        <w:tc>
          <w:tcPr>
            <w:tcW w:w="1221" w:type="dxa"/>
            <w:tcBorders>
              <w:top w:val="single" w:sz="8" w:space="0" w:color="auto"/>
              <w:left w:val="nil"/>
              <w:bottom w:val="nil"/>
              <w:right w:val="nil"/>
            </w:tcBorders>
            <w:shd w:val="clear" w:color="000000" w:fill="FFFFFF"/>
            <w:noWrap/>
            <w:hideMark/>
          </w:tcPr>
          <w:p w14:paraId="1ED31A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144,9</w:t>
            </w:r>
          </w:p>
        </w:tc>
        <w:tc>
          <w:tcPr>
            <w:tcW w:w="1467" w:type="dxa"/>
            <w:tcBorders>
              <w:top w:val="single" w:sz="8" w:space="0" w:color="auto"/>
              <w:left w:val="nil"/>
              <w:bottom w:val="nil"/>
              <w:right w:val="nil"/>
            </w:tcBorders>
            <w:shd w:val="clear" w:color="000000" w:fill="FFFFFF"/>
            <w:noWrap/>
            <w:hideMark/>
          </w:tcPr>
          <w:p w14:paraId="23A9BE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102,2</w:t>
            </w:r>
          </w:p>
        </w:tc>
      </w:tr>
      <w:tr w:rsidR="002E4D99" w:rsidRPr="00367BEC" w14:paraId="2DFF5CAC" w14:textId="77777777" w:rsidTr="00CF1C1E">
        <w:trPr>
          <w:trHeight w:val="20"/>
        </w:trPr>
        <w:tc>
          <w:tcPr>
            <w:tcW w:w="1292" w:type="dxa"/>
            <w:tcBorders>
              <w:top w:val="single" w:sz="8" w:space="0" w:color="auto"/>
              <w:left w:val="nil"/>
              <w:bottom w:val="single" w:sz="8" w:space="0" w:color="auto"/>
              <w:right w:val="nil"/>
            </w:tcBorders>
            <w:shd w:val="clear" w:color="000000" w:fill="FFFFFF"/>
            <w:noWrap/>
            <w:hideMark/>
          </w:tcPr>
          <w:p w14:paraId="224FB9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Mercadante 2012</w:t>
            </w:r>
          </w:p>
        </w:tc>
        <w:tc>
          <w:tcPr>
            <w:tcW w:w="1225" w:type="dxa"/>
            <w:tcBorders>
              <w:top w:val="single" w:sz="8" w:space="0" w:color="auto"/>
              <w:left w:val="nil"/>
              <w:bottom w:val="single" w:sz="8" w:space="0" w:color="auto"/>
              <w:right w:val="nil"/>
            </w:tcBorders>
            <w:shd w:val="clear" w:color="000000" w:fill="FFFFFF"/>
            <w:noWrap/>
            <w:hideMark/>
          </w:tcPr>
          <w:p w14:paraId="677B62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451" w:type="dxa"/>
            <w:tcBorders>
              <w:top w:val="single" w:sz="8" w:space="0" w:color="auto"/>
              <w:left w:val="nil"/>
              <w:bottom w:val="single" w:sz="8" w:space="0" w:color="auto"/>
              <w:right w:val="nil"/>
            </w:tcBorders>
            <w:shd w:val="clear" w:color="000000" w:fill="FFFFFF"/>
            <w:noWrap/>
            <w:hideMark/>
          </w:tcPr>
          <w:p w14:paraId="036E1C6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146,0</w:t>
            </w:r>
          </w:p>
        </w:tc>
        <w:tc>
          <w:tcPr>
            <w:tcW w:w="1060" w:type="dxa"/>
            <w:tcBorders>
              <w:top w:val="nil"/>
              <w:left w:val="nil"/>
              <w:bottom w:val="single" w:sz="8" w:space="0" w:color="auto"/>
              <w:right w:val="nil"/>
            </w:tcBorders>
            <w:shd w:val="clear" w:color="000000" w:fill="FFFFFF"/>
            <w:noWrap/>
            <w:hideMark/>
          </w:tcPr>
          <w:p w14:paraId="3244DA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(86,0)</w:t>
            </w:r>
          </w:p>
        </w:tc>
        <w:tc>
          <w:tcPr>
            <w:tcW w:w="416" w:type="dxa"/>
            <w:tcBorders>
              <w:top w:val="single" w:sz="8" w:space="0" w:color="auto"/>
              <w:left w:val="nil"/>
              <w:bottom w:val="single" w:sz="8" w:space="0" w:color="auto"/>
              <w:right w:val="nil"/>
            </w:tcBorders>
            <w:shd w:val="clear" w:color="000000" w:fill="FFFFFF"/>
            <w:noWrap/>
            <w:hideMark/>
          </w:tcPr>
          <w:p w14:paraId="167048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1096" w:type="dxa"/>
            <w:tcBorders>
              <w:top w:val="single" w:sz="8" w:space="0" w:color="auto"/>
              <w:left w:val="nil"/>
              <w:bottom w:val="single" w:sz="8" w:space="0" w:color="auto"/>
              <w:right w:val="nil"/>
            </w:tcBorders>
            <w:shd w:val="clear" w:color="000000" w:fill="FFFFFF"/>
            <w:noWrap/>
            <w:hideMark/>
          </w:tcPr>
          <w:p w14:paraId="6C9D18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(50/50)</w:t>
            </w:r>
          </w:p>
        </w:tc>
        <w:tc>
          <w:tcPr>
            <w:tcW w:w="479" w:type="dxa"/>
            <w:tcBorders>
              <w:top w:val="single" w:sz="8" w:space="0" w:color="auto"/>
              <w:left w:val="nil"/>
              <w:bottom w:val="single" w:sz="8" w:space="0" w:color="auto"/>
              <w:right w:val="nil"/>
            </w:tcBorders>
            <w:shd w:val="clear" w:color="000000" w:fill="FFFFFF"/>
            <w:noWrap/>
            <w:hideMark/>
          </w:tcPr>
          <w:p w14:paraId="61C2C6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8" w:space="0" w:color="auto"/>
              <w:left w:val="nil"/>
              <w:bottom w:val="single" w:sz="8" w:space="0" w:color="auto"/>
              <w:right w:val="nil"/>
            </w:tcBorders>
            <w:shd w:val="clear" w:color="000000" w:fill="FFFFFF"/>
            <w:noWrap/>
            <w:hideMark/>
          </w:tcPr>
          <w:p w14:paraId="0851F66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4" w:type="dxa"/>
            <w:tcBorders>
              <w:top w:val="single" w:sz="8" w:space="0" w:color="auto"/>
              <w:left w:val="nil"/>
              <w:bottom w:val="single" w:sz="8" w:space="0" w:color="auto"/>
              <w:right w:val="nil"/>
            </w:tcBorders>
            <w:shd w:val="clear" w:color="000000" w:fill="FFFFFF"/>
            <w:noWrap/>
            <w:hideMark/>
          </w:tcPr>
          <w:p w14:paraId="4B6682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190,0</w:t>
            </w:r>
          </w:p>
        </w:tc>
        <w:tc>
          <w:tcPr>
            <w:tcW w:w="681" w:type="dxa"/>
            <w:tcBorders>
              <w:top w:val="single" w:sz="8" w:space="0" w:color="auto"/>
              <w:left w:val="nil"/>
              <w:bottom w:val="single" w:sz="8" w:space="0" w:color="auto"/>
              <w:right w:val="nil"/>
            </w:tcBorders>
            <w:shd w:val="clear" w:color="000000" w:fill="FFFFFF"/>
            <w:noWrap/>
            <w:hideMark/>
          </w:tcPr>
          <w:p w14:paraId="36B93F5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(114,0)</w:t>
            </w:r>
          </w:p>
        </w:tc>
        <w:tc>
          <w:tcPr>
            <w:tcW w:w="376" w:type="dxa"/>
            <w:tcBorders>
              <w:top w:val="single" w:sz="8" w:space="0" w:color="auto"/>
              <w:left w:val="nil"/>
              <w:bottom w:val="single" w:sz="8" w:space="0" w:color="auto"/>
              <w:right w:val="nil"/>
            </w:tcBorders>
            <w:shd w:val="clear" w:color="000000" w:fill="FFFFFF"/>
            <w:noWrap/>
            <w:hideMark/>
          </w:tcPr>
          <w:p w14:paraId="7BC0FCB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904" w:type="dxa"/>
            <w:tcBorders>
              <w:top w:val="single" w:sz="8" w:space="0" w:color="auto"/>
              <w:left w:val="nil"/>
              <w:bottom w:val="single" w:sz="8" w:space="0" w:color="auto"/>
              <w:right w:val="nil"/>
            </w:tcBorders>
            <w:shd w:val="clear" w:color="000000" w:fill="FFFFFF"/>
            <w:noWrap/>
            <w:hideMark/>
          </w:tcPr>
          <w:p w14:paraId="35AC1D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(39/39)</w:t>
            </w:r>
          </w:p>
        </w:tc>
        <w:tc>
          <w:tcPr>
            <w:tcW w:w="1221" w:type="dxa"/>
            <w:tcBorders>
              <w:top w:val="single" w:sz="8" w:space="0" w:color="auto"/>
              <w:left w:val="nil"/>
              <w:bottom w:val="single" w:sz="8" w:space="0" w:color="auto"/>
              <w:right w:val="nil"/>
            </w:tcBorders>
            <w:shd w:val="clear" w:color="000000" w:fill="FFFFFF"/>
            <w:noWrap/>
            <w:hideMark/>
          </w:tcPr>
          <w:p w14:paraId="26F663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44,0</w:t>
            </w:r>
          </w:p>
        </w:tc>
        <w:tc>
          <w:tcPr>
            <w:tcW w:w="1467" w:type="dxa"/>
            <w:tcBorders>
              <w:top w:val="single" w:sz="8" w:space="0" w:color="auto"/>
              <w:left w:val="nil"/>
              <w:bottom w:val="single" w:sz="8" w:space="0" w:color="auto"/>
              <w:right w:val="nil"/>
            </w:tcBorders>
            <w:shd w:val="clear" w:color="000000" w:fill="FFFFFF"/>
            <w:noWrap/>
            <w:hideMark/>
          </w:tcPr>
          <w:p w14:paraId="555B63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30,1</w:t>
            </w:r>
          </w:p>
        </w:tc>
      </w:tr>
    </w:tbl>
    <w:p w14:paraId="3892F851" w14:textId="77777777" w:rsidR="002E4D99" w:rsidRPr="00367BEC" w:rsidRDefault="002E4D99" w:rsidP="002E4D99">
      <w:pPr>
        <w:spacing w:after="0" w:line="240" w:lineRule="auto"/>
        <w:ind w:right="-425"/>
        <w:jc w:val="both"/>
        <w:rPr>
          <w:rFonts w:ascii="Times New Roman" w:hAnsi="Times New Roman" w:cs="Times New Roman"/>
          <w:b/>
          <w:bCs/>
          <w:sz w:val="16"/>
          <w:szCs w:val="16"/>
        </w:rPr>
      </w:pPr>
    </w:p>
    <w:p w14:paraId="794D205A" w14:textId="2D7797E0" w:rsidR="002E4D99" w:rsidRPr="00367BEC" w:rsidRDefault="002E4D99" w:rsidP="002E4D99">
      <w:pPr>
        <w:spacing w:after="0" w:line="240" w:lineRule="auto"/>
        <w:ind w:right="-627"/>
        <w:jc w:val="both"/>
        <w:rPr>
          <w:rFonts w:ascii="Times New Roman" w:eastAsia="Times New Roman" w:hAnsi="Times New Roman" w:cs="Times New Roman"/>
          <w:color w:val="000000"/>
          <w:sz w:val="16"/>
          <w:szCs w:val="16"/>
        </w:rPr>
      </w:pPr>
      <w:r w:rsidRPr="00367BEC">
        <w:rPr>
          <w:rFonts w:ascii="Times New Roman" w:hAnsi="Times New Roman"/>
          <w:b/>
          <w:sz w:val="16"/>
        </w:rPr>
        <w:t>Abreviaturas:</w:t>
      </w:r>
      <w:r w:rsidRPr="00367BEC">
        <w:rPr>
          <w:rFonts w:ascii="Times New Roman" w:hAnsi="Times New Roman"/>
          <w:sz w:val="16"/>
        </w:rPr>
        <w:t xml:space="preserve"> m (mes), OXN (oxicodona/naloxona), PR (</w:t>
      </w:r>
      <w:r w:rsidR="00784720">
        <w:rPr>
          <w:rFonts w:ascii="Times New Roman" w:hAnsi="Times New Roman"/>
          <w:sz w:val="16"/>
        </w:rPr>
        <w:t>liberación prolongada</w:t>
      </w:r>
      <w:r w:rsidRPr="00367BEC">
        <w:rPr>
          <w:rFonts w:ascii="Times New Roman" w:hAnsi="Times New Roman"/>
          <w:sz w:val="16"/>
        </w:rPr>
        <w:t xml:space="preserve">), EE (error estándar), TAP (tapentadol), TRA (tramadol), </w:t>
      </w:r>
      <w:proofErr w:type="spellStart"/>
      <w:r w:rsidRPr="00367BEC">
        <w:rPr>
          <w:rFonts w:ascii="Times New Roman" w:hAnsi="Times New Roman"/>
          <w:sz w:val="16"/>
        </w:rPr>
        <w:t>um</w:t>
      </w:r>
      <w:proofErr w:type="spellEnd"/>
      <w:r w:rsidRPr="00367BEC">
        <w:rPr>
          <w:rFonts w:ascii="Times New Roman" w:hAnsi="Times New Roman"/>
          <w:sz w:val="16"/>
        </w:rPr>
        <w:t>-PEA (</w:t>
      </w:r>
      <w:proofErr w:type="spellStart"/>
      <w:r w:rsidRPr="00367BEC">
        <w:rPr>
          <w:rFonts w:ascii="Times New Roman" w:hAnsi="Times New Roman"/>
          <w:sz w:val="16"/>
        </w:rPr>
        <w:t>palmitoiletanolamida</w:t>
      </w:r>
      <w:proofErr w:type="spellEnd"/>
      <w:r w:rsidRPr="00367BEC">
        <w:rPr>
          <w:rFonts w:ascii="Times New Roman" w:hAnsi="Times New Roman"/>
          <w:sz w:val="16"/>
        </w:rPr>
        <w:t xml:space="preserve"> </w:t>
      </w:r>
      <w:proofErr w:type="spellStart"/>
      <w:r w:rsidRPr="00367BEC">
        <w:rPr>
          <w:rFonts w:ascii="Times New Roman" w:hAnsi="Times New Roman"/>
          <w:sz w:val="16"/>
        </w:rPr>
        <w:t>ultramicronizada</w:t>
      </w:r>
      <w:proofErr w:type="spellEnd"/>
      <w:r w:rsidRPr="00367BEC">
        <w:rPr>
          <w:rFonts w:ascii="Times New Roman" w:hAnsi="Times New Roman"/>
          <w:sz w:val="16"/>
        </w:rPr>
        <w:t xml:space="preserve">); </w:t>
      </w:r>
      <w:r w:rsidRPr="00367BEC">
        <w:rPr>
          <w:rFonts w:ascii="Times New Roman" w:hAnsi="Times New Roman"/>
          <w:b/>
          <w:color w:val="000000"/>
          <w:sz w:val="20"/>
          <w:vertAlign w:val="superscript"/>
        </w:rPr>
        <w:t xml:space="preserve">a </w:t>
      </w:r>
      <w:r w:rsidRPr="00367BEC">
        <w:rPr>
          <w:rFonts w:ascii="Times New Roman" w:hAnsi="Times New Roman"/>
          <w:color w:val="000000"/>
          <w:sz w:val="16"/>
        </w:rPr>
        <w:t xml:space="preserve">cohorte con el 68,8 % en tratamiento con tramadol, </w:t>
      </w:r>
      <w:r w:rsidRPr="00367BEC">
        <w:rPr>
          <w:rFonts w:ascii="Times New Roman" w:hAnsi="Times New Roman"/>
          <w:b/>
          <w:color w:val="000000"/>
          <w:sz w:val="20"/>
          <w:vertAlign w:val="superscript"/>
        </w:rPr>
        <w:t>b</w:t>
      </w:r>
      <w:r w:rsidRPr="00367BEC">
        <w:rPr>
          <w:rFonts w:ascii="Times New Roman" w:hAnsi="Times New Roman"/>
          <w:color w:val="000000"/>
          <w:sz w:val="16"/>
        </w:rPr>
        <w:t xml:space="preserve"> cohorte con tratamiento previo con opioides potentes</w:t>
      </w:r>
      <w:r w:rsidRPr="00367BEC">
        <w:rPr>
          <w:rFonts w:ascii="Times New Roman" w:hAnsi="Times New Roman"/>
          <w:sz w:val="16"/>
        </w:rPr>
        <w:t xml:space="preserve">; </w:t>
      </w:r>
      <w:r w:rsidRPr="00367BEC">
        <w:rPr>
          <w:rFonts w:ascii="Times New Roman" w:hAnsi="Times New Roman"/>
          <w:color w:val="000000"/>
          <w:sz w:val="16"/>
        </w:rPr>
        <w:t>los datos representan la media (DE) o la mediana [</w:t>
      </w:r>
      <w:r w:rsidR="003C66E0">
        <w:rPr>
          <w:rFonts w:ascii="Times New Roman" w:hAnsi="Times New Roman"/>
          <w:color w:val="000000"/>
          <w:sz w:val="16"/>
        </w:rPr>
        <w:t>R</w:t>
      </w:r>
      <w:r w:rsidR="003C66E0" w:rsidRPr="00367BEC">
        <w:rPr>
          <w:rFonts w:ascii="Times New Roman" w:hAnsi="Times New Roman"/>
          <w:color w:val="000000"/>
          <w:sz w:val="16"/>
        </w:rPr>
        <w:t>IC</w:t>
      </w:r>
      <w:r w:rsidRPr="00367BEC">
        <w:rPr>
          <w:rFonts w:ascii="Times New Roman" w:hAnsi="Times New Roman"/>
          <w:color w:val="000000"/>
          <w:sz w:val="16"/>
        </w:rPr>
        <w:t xml:space="preserve">] a menos que se indique lo contrario; los números en </w:t>
      </w:r>
      <w:r w:rsidRPr="00367BEC">
        <w:rPr>
          <w:rFonts w:ascii="Times New Roman" w:hAnsi="Times New Roman"/>
          <w:i/>
          <w:color w:val="000000"/>
          <w:sz w:val="16"/>
        </w:rPr>
        <w:t>cursiva</w:t>
      </w:r>
      <w:r w:rsidRPr="00367BEC">
        <w:rPr>
          <w:rFonts w:ascii="Times New Roman" w:hAnsi="Times New Roman"/>
          <w:color w:val="000000"/>
          <w:sz w:val="16"/>
        </w:rPr>
        <w:t xml:space="preserve"> se han estimado a partir de datos proporcionados en el manuscrito; las diferencias entre cohortes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r w:rsidRPr="00367BEC">
        <w:rPr>
          <w:rFonts w:ascii="Times New Roman" w:hAnsi="Times New Roman"/>
          <w:b/>
          <w:color w:val="000000"/>
          <w:sz w:val="16"/>
          <w:vertAlign w:val="superscript"/>
        </w:rPr>
        <w:t>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r w:rsidRPr="00367BEC">
        <w:rPr>
          <w:rFonts w:ascii="Times New Roman" w:hAnsi="Times New Roman"/>
          <w:b/>
          <w:color w:val="000000"/>
          <w:sz w:val="16"/>
          <w:vertAlign w:val="superscript"/>
        </w:rPr>
        <w:t>III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0,001); las diferencias </w:t>
      </w:r>
      <w:proofErr w:type="spellStart"/>
      <w:r w:rsidRPr="00367BEC">
        <w:rPr>
          <w:rFonts w:ascii="Times New Roman" w:hAnsi="Times New Roman"/>
          <w:color w:val="000000"/>
          <w:sz w:val="16"/>
        </w:rPr>
        <w:t>intracohorte</w:t>
      </w:r>
      <w:proofErr w:type="spellEnd"/>
      <w:r w:rsidRPr="00367BEC">
        <w:rPr>
          <w:rFonts w:ascii="Times New Roman" w:hAnsi="Times New Roman"/>
          <w:color w:val="000000"/>
          <w:sz w:val="16"/>
        </w:rPr>
        <w:t xml:space="preserve">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proofErr w:type="spellStart"/>
      <w:r w:rsidRPr="00367BEC">
        <w:rPr>
          <w:rFonts w:ascii="Times New Roman" w:hAnsi="Times New Roman"/>
          <w:b/>
          <w:color w:val="000000"/>
          <w:sz w:val="16"/>
          <w:vertAlign w:val="superscript"/>
        </w:rPr>
        <w:t>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proofErr w:type="spellStart"/>
      <w:r w:rsidRPr="00367BEC">
        <w:rPr>
          <w:rFonts w:ascii="Times New Roman" w:hAnsi="Times New Roman"/>
          <w:b/>
          <w:color w:val="000000"/>
          <w:sz w:val="16"/>
          <w:vertAlign w:val="superscript"/>
        </w:rPr>
        <w:t>iii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&lt; 0,001).</w:t>
      </w:r>
    </w:p>
    <w:p w14:paraId="1EDF103D" w14:textId="77777777" w:rsidR="002E4D99" w:rsidRPr="00367BEC" w:rsidRDefault="002E4D99" w:rsidP="002E4D99">
      <w:pPr>
        <w:rPr>
          <w:rFonts w:ascii="Times New Roman" w:hAnsi="Times New Roman" w:cs="Times New Roman"/>
          <w:b/>
          <w:sz w:val="24"/>
          <w:szCs w:val="24"/>
        </w:rPr>
      </w:pPr>
      <w:r w:rsidRPr="00367BEC">
        <w:br w:type="page"/>
      </w:r>
    </w:p>
    <w:p w14:paraId="6E7EAB3B"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3. </w:t>
      </w:r>
      <w:r w:rsidRPr="00367BEC">
        <w:rPr>
          <w:rFonts w:ascii="Times New Roman" w:hAnsi="Times New Roman"/>
        </w:rPr>
        <w:t>Descripción de la medicación previa y concomitante con opioides en cada estudio</w:t>
      </w:r>
    </w:p>
    <w:p w14:paraId="0C7BE3AF" w14:textId="77777777" w:rsidR="002E4D99" w:rsidRPr="00367BEC" w:rsidRDefault="002E4D99" w:rsidP="002E4D99">
      <w:pPr>
        <w:spacing w:after="0" w:line="240" w:lineRule="auto"/>
        <w:ind w:right="426"/>
        <w:jc w:val="both"/>
        <w:rPr>
          <w:rFonts w:ascii="Times New Roman" w:hAnsi="Times New Roman" w:cs="Times New Roman"/>
          <w:bCs/>
          <w:sz w:val="24"/>
          <w:szCs w:val="24"/>
        </w:rPr>
      </w:pPr>
    </w:p>
    <w:tbl>
      <w:tblPr>
        <w:tblW w:w="11600" w:type="dxa"/>
        <w:tblLayout w:type="fixed"/>
        <w:tblCellMar>
          <w:left w:w="28" w:type="dxa"/>
          <w:right w:w="28" w:type="dxa"/>
        </w:tblCellMar>
        <w:tblLook w:val="04A0" w:firstRow="1" w:lastRow="0" w:firstColumn="1" w:lastColumn="0" w:noHBand="0" w:noVBand="1"/>
      </w:tblPr>
      <w:tblGrid>
        <w:gridCol w:w="1284"/>
        <w:gridCol w:w="1129"/>
        <w:gridCol w:w="1137"/>
        <w:gridCol w:w="360"/>
        <w:gridCol w:w="872"/>
        <w:gridCol w:w="996"/>
        <w:gridCol w:w="380"/>
        <w:gridCol w:w="354"/>
        <w:gridCol w:w="872"/>
        <w:gridCol w:w="347"/>
        <w:gridCol w:w="325"/>
        <w:gridCol w:w="872"/>
        <w:gridCol w:w="1205"/>
        <w:gridCol w:w="1467"/>
      </w:tblGrid>
      <w:tr w:rsidR="002E4D99" w:rsidRPr="00367BEC" w14:paraId="0A71ADE9" w14:textId="77777777" w:rsidTr="00CF1C1E">
        <w:trPr>
          <w:trHeight w:val="283"/>
        </w:trPr>
        <w:tc>
          <w:tcPr>
            <w:tcW w:w="1284" w:type="dxa"/>
            <w:tcBorders>
              <w:top w:val="nil"/>
              <w:left w:val="nil"/>
              <w:bottom w:val="single" w:sz="8" w:space="0" w:color="auto"/>
              <w:right w:val="nil"/>
            </w:tcBorders>
            <w:shd w:val="clear" w:color="000000" w:fill="FFFFFF"/>
            <w:noWrap/>
            <w:vAlign w:val="center"/>
            <w:hideMark/>
          </w:tcPr>
          <w:p w14:paraId="07DA5DC2"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Referencia</w:t>
            </w:r>
          </w:p>
        </w:tc>
        <w:tc>
          <w:tcPr>
            <w:tcW w:w="1129" w:type="dxa"/>
            <w:tcBorders>
              <w:top w:val="nil"/>
              <w:left w:val="nil"/>
              <w:bottom w:val="single" w:sz="8" w:space="0" w:color="auto"/>
              <w:right w:val="nil"/>
            </w:tcBorders>
            <w:shd w:val="clear" w:color="000000" w:fill="FFFFFF"/>
            <w:noWrap/>
            <w:vAlign w:val="center"/>
            <w:hideMark/>
          </w:tcPr>
          <w:p w14:paraId="5F4BA342"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Cohorte</w:t>
            </w:r>
          </w:p>
        </w:tc>
        <w:tc>
          <w:tcPr>
            <w:tcW w:w="1137" w:type="dxa"/>
            <w:tcBorders>
              <w:top w:val="nil"/>
              <w:left w:val="nil"/>
              <w:bottom w:val="single" w:sz="8" w:space="0" w:color="auto"/>
              <w:right w:val="nil"/>
            </w:tcBorders>
            <w:shd w:val="clear" w:color="000000" w:fill="FFFFFF"/>
            <w:vAlign w:val="center"/>
            <w:hideMark/>
          </w:tcPr>
          <w:p w14:paraId="73C2F543"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Tratamiento previo</w:t>
            </w:r>
          </w:p>
        </w:tc>
        <w:tc>
          <w:tcPr>
            <w:tcW w:w="360" w:type="dxa"/>
            <w:tcBorders>
              <w:top w:val="nil"/>
              <w:left w:val="nil"/>
              <w:bottom w:val="single" w:sz="8" w:space="0" w:color="auto"/>
              <w:right w:val="nil"/>
            </w:tcBorders>
            <w:shd w:val="clear" w:color="000000" w:fill="FFFFFF"/>
            <w:vAlign w:val="center"/>
            <w:hideMark/>
          </w:tcPr>
          <w:p w14:paraId="194806D3"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w:t>
            </w:r>
          </w:p>
        </w:tc>
        <w:tc>
          <w:tcPr>
            <w:tcW w:w="872" w:type="dxa"/>
            <w:tcBorders>
              <w:top w:val="nil"/>
              <w:left w:val="nil"/>
              <w:bottom w:val="single" w:sz="8" w:space="0" w:color="auto"/>
              <w:right w:val="nil"/>
            </w:tcBorders>
            <w:shd w:val="clear" w:color="000000" w:fill="FFFFFF"/>
            <w:vAlign w:val="center"/>
            <w:hideMark/>
          </w:tcPr>
          <w:p w14:paraId="7B3A8D50"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996" w:type="dxa"/>
            <w:tcBorders>
              <w:top w:val="nil"/>
              <w:left w:val="nil"/>
              <w:bottom w:val="single" w:sz="8" w:space="0" w:color="auto"/>
              <w:right w:val="nil"/>
            </w:tcBorders>
            <w:shd w:val="clear" w:color="000000" w:fill="FFFFFF"/>
            <w:vAlign w:val="center"/>
            <w:hideMark/>
          </w:tcPr>
          <w:p w14:paraId="104C2CE7"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Concomitante</w:t>
            </w:r>
          </w:p>
        </w:tc>
        <w:tc>
          <w:tcPr>
            <w:tcW w:w="734" w:type="dxa"/>
            <w:gridSpan w:val="2"/>
            <w:tcBorders>
              <w:top w:val="nil"/>
              <w:left w:val="nil"/>
              <w:bottom w:val="single" w:sz="8" w:space="0" w:color="auto"/>
              <w:right w:val="nil"/>
            </w:tcBorders>
            <w:shd w:val="clear" w:color="000000" w:fill="FFFFFF"/>
            <w:vAlign w:val="center"/>
            <w:hideMark/>
          </w:tcPr>
          <w:p w14:paraId="556350B1"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Inicio (%)</w:t>
            </w:r>
          </w:p>
        </w:tc>
        <w:tc>
          <w:tcPr>
            <w:tcW w:w="872" w:type="dxa"/>
            <w:tcBorders>
              <w:top w:val="nil"/>
              <w:left w:val="nil"/>
              <w:bottom w:val="single" w:sz="8" w:space="0" w:color="auto"/>
              <w:right w:val="nil"/>
            </w:tcBorders>
            <w:shd w:val="clear" w:color="000000" w:fill="FFFFFF"/>
            <w:vAlign w:val="center"/>
            <w:hideMark/>
          </w:tcPr>
          <w:p w14:paraId="5E1B67AC"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672" w:type="dxa"/>
            <w:gridSpan w:val="2"/>
            <w:tcBorders>
              <w:top w:val="nil"/>
              <w:left w:val="nil"/>
              <w:bottom w:val="single" w:sz="8" w:space="0" w:color="auto"/>
              <w:right w:val="nil"/>
            </w:tcBorders>
            <w:shd w:val="clear" w:color="000000" w:fill="FFFFFF"/>
            <w:vAlign w:val="center"/>
            <w:hideMark/>
          </w:tcPr>
          <w:p w14:paraId="5C65155D"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Final (%)</w:t>
            </w:r>
          </w:p>
        </w:tc>
        <w:tc>
          <w:tcPr>
            <w:tcW w:w="872" w:type="dxa"/>
            <w:tcBorders>
              <w:top w:val="nil"/>
              <w:left w:val="nil"/>
              <w:bottom w:val="single" w:sz="8" w:space="0" w:color="auto"/>
              <w:right w:val="nil"/>
            </w:tcBorders>
            <w:shd w:val="clear" w:color="000000" w:fill="FFFFFF"/>
            <w:vAlign w:val="center"/>
            <w:hideMark/>
          </w:tcPr>
          <w:p w14:paraId="2CF16F7F"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1205" w:type="dxa"/>
            <w:tcBorders>
              <w:top w:val="nil"/>
              <w:left w:val="nil"/>
              <w:bottom w:val="single" w:sz="8" w:space="0" w:color="auto"/>
              <w:right w:val="nil"/>
            </w:tcBorders>
            <w:shd w:val="clear" w:color="000000" w:fill="FFFFFF"/>
            <w:vAlign w:val="center"/>
            <w:hideMark/>
          </w:tcPr>
          <w:p w14:paraId="454F256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absoluto</w:t>
            </w:r>
          </w:p>
        </w:tc>
        <w:tc>
          <w:tcPr>
            <w:tcW w:w="1467" w:type="dxa"/>
            <w:tcBorders>
              <w:top w:val="nil"/>
              <w:left w:val="nil"/>
              <w:bottom w:val="single" w:sz="8" w:space="0" w:color="auto"/>
              <w:right w:val="nil"/>
            </w:tcBorders>
            <w:shd w:val="clear" w:color="000000" w:fill="FFFFFF"/>
            <w:vAlign w:val="center"/>
            <w:hideMark/>
          </w:tcPr>
          <w:p w14:paraId="085A4765"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relativo (%)</w:t>
            </w:r>
          </w:p>
        </w:tc>
      </w:tr>
      <w:tr w:rsidR="002E4D99" w:rsidRPr="00367BEC" w14:paraId="568B90A4" w14:textId="77777777" w:rsidTr="00CF1C1E">
        <w:trPr>
          <w:trHeight w:val="20"/>
        </w:trPr>
        <w:tc>
          <w:tcPr>
            <w:tcW w:w="1284" w:type="dxa"/>
            <w:tcBorders>
              <w:top w:val="nil"/>
              <w:left w:val="nil"/>
              <w:bottom w:val="nil"/>
              <w:right w:val="nil"/>
            </w:tcBorders>
            <w:shd w:val="clear" w:color="000000" w:fill="FFFFFF"/>
            <w:noWrap/>
            <w:hideMark/>
          </w:tcPr>
          <w:p w14:paraId="46296A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Billeci</w:t>
            </w:r>
            <w:proofErr w:type="spellEnd"/>
            <w:r w:rsidRPr="00367BEC">
              <w:rPr>
                <w:rFonts w:ascii="Times New Roman" w:hAnsi="Times New Roman"/>
                <w:color w:val="000000"/>
                <w:sz w:val="16"/>
              </w:rPr>
              <w:t xml:space="preserve"> 2017</w:t>
            </w:r>
          </w:p>
        </w:tc>
        <w:tc>
          <w:tcPr>
            <w:tcW w:w="1129" w:type="dxa"/>
            <w:tcBorders>
              <w:top w:val="nil"/>
              <w:left w:val="nil"/>
              <w:bottom w:val="nil"/>
              <w:right w:val="nil"/>
            </w:tcBorders>
            <w:shd w:val="clear" w:color="000000" w:fill="FFFFFF"/>
            <w:noWrap/>
            <w:hideMark/>
          </w:tcPr>
          <w:p w14:paraId="3DE028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nil"/>
              <w:left w:val="nil"/>
              <w:bottom w:val="nil"/>
              <w:right w:val="nil"/>
            </w:tcBorders>
            <w:shd w:val="clear" w:color="000000" w:fill="FFFFFF"/>
          </w:tcPr>
          <w:p w14:paraId="5B6D3BE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60" w:type="dxa"/>
            <w:tcBorders>
              <w:top w:val="nil"/>
              <w:left w:val="nil"/>
              <w:bottom w:val="nil"/>
              <w:right w:val="nil"/>
            </w:tcBorders>
            <w:shd w:val="clear" w:color="000000" w:fill="FFFFFF"/>
          </w:tcPr>
          <w:p w14:paraId="08A0348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72" w:type="dxa"/>
            <w:tcBorders>
              <w:top w:val="nil"/>
              <w:left w:val="nil"/>
              <w:bottom w:val="nil"/>
              <w:right w:val="nil"/>
            </w:tcBorders>
            <w:shd w:val="clear" w:color="000000" w:fill="FFFFFF"/>
          </w:tcPr>
          <w:p w14:paraId="050C2BE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996" w:type="dxa"/>
            <w:tcBorders>
              <w:top w:val="nil"/>
              <w:left w:val="nil"/>
              <w:bottom w:val="nil"/>
              <w:right w:val="nil"/>
            </w:tcBorders>
            <w:shd w:val="clear" w:color="000000" w:fill="FFFFFF"/>
            <w:hideMark/>
          </w:tcPr>
          <w:p w14:paraId="3EFD4F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80" w:type="dxa"/>
            <w:tcBorders>
              <w:top w:val="nil"/>
              <w:left w:val="nil"/>
              <w:bottom w:val="nil"/>
              <w:right w:val="nil"/>
            </w:tcBorders>
            <w:shd w:val="clear" w:color="000000" w:fill="FFFFFF"/>
            <w:hideMark/>
          </w:tcPr>
          <w:p w14:paraId="16E77F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11,1</w:t>
            </w:r>
          </w:p>
        </w:tc>
        <w:tc>
          <w:tcPr>
            <w:tcW w:w="1226" w:type="dxa"/>
            <w:gridSpan w:val="2"/>
            <w:tcBorders>
              <w:top w:val="nil"/>
              <w:left w:val="nil"/>
              <w:bottom w:val="nil"/>
              <w:right w:val="nil"/>
            </w:tcBorders>
            <w:shd w:val="clear" w:color="000000" w:fill="FFFFFF"/>
            <w:hideMark/>
          </w:tcPr>
          <w:p w14:paraId="4A21021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(6/54)</w:t>
            </w:r>
          </w:p>
        </w:tc>
        <w:tc>
          <w:tcPr>
            <w:tcW w:w="347" w:type="dxa"/>
            <w:tcBorders>
              <w:top w:val="nil"/>
              <w:left w:val="nil"/>
              <w:bottom w:val="nil"/>
              <w:right w:val="nil"/>
            </w:tcBorders>
            <w:shd w:val="clear" w:color="000000" w:fill="FFFFFF"/>
            <w:hideMark/>
          </w:tcPr>
          <w:p w14:paraId="6F5A57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0,0</w:t>
            </w:r>
          </w:p>
        </w:tc>
        <w:tc>
          <w:tcPr>
            <w:tcW w:w="1197" w:type="dxa"/>
            <w:gridSpan w:val="2"/>
            <w:tcBorders>
              <w:top w:val="nil"/>
              <w:left w:val="nil"/>
              <w:bottom w:val="nil"/>
              <w:right w:val="nil"/>
            </w:tcBorders>
            <w:shd w:val="clear" w:color="000000" w:fill="FFFFFF"/>
            <w:hideMark/>
          </w:tcPr>
          <w:p w14:paraId="77DB518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(0/44)</w:t>
            </w:r>
          </w:p>
        </w:tc>
        <w:tc>
          <w:tcPr>
            <w:tcW w:w="1205" w:type="dxa"/>
            <w:tcBorders>
              <w:top w:val="nil"/>
              <w:left w:val="nil"/>
              <w:bottom w:val="nil"/>
              <w:right w:val="nil"/>
            </w:tcBorders>
            <w:shd w:val="clear" w:color="000000" w:fill="FFFFFF"/>
            <w:hideMark/>
          </w:tcPr>
          <w:p w14:paraId="33D31F9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−11,1</w:t>
            </w:r>
          </w:p>
        </w:tc>
        <w:tc>
          <w:tcPr>
            <w:tcW w:w="1467" w:type="dxa"/>
            <w:tcBorders>
              <w:top w:val="nil"/>
              <w:left w:val="nil"/>
              <w:bottom w:val="nil"/>
              <w:right w:val="nil"/>
            </w:tcBorders>
            <w:shd w:val="clear" w:color="000000" w:fill="FFFFFF"/>
            <w:hideMark/>
          </w:tcPr>
          <w:p w14:paraId="456F368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−100,0</w:t>
            </w:r>
          </w:p>
        </w:tc>
      </w:tr>
      <w:tr w:rsidR="002E4D99" w:rsidRPr="00367BEC" w14:paraId="67F77DC8" w14:textId="77777777" w:rsidTr="00CF1C1E">
        <w:trPr>
          <w:trHeight w:val="20"/>
        </w:trPr>
        <w:tc>
          <w:tcPr>
            <w:tcW w:w="1284" w:type="dxa"/>
            <w:tcBorders>
              <w:top w:val="single" w:sz="8" w:space="0" w:color="auto"/>
              <w:left w:val="nil"/>
              <w:bottom w:val="nil"/>
              <w:right w:val="nil"/>
            </w:tcBorders>
            <w:shd w:val="clear" w:color="000000" w:fill="FFFFFF"/>
            <w:noWrap/>
            <w:hideMark/>
          </w:tcPr>
          <w:p w14:paraId="4338B4E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Ueberall</w:t>
            </w:r>
            <w:proofErr w:type="spellEnd"/>
            <w:r w:rsidRPr="00367BEC">
              <w:rPr>
                <w:rFonts w:ascii="Times New Roman" w:hAnsi="Times New Roman"/>
                <w:color w:val="000000"/>
                <w:sz w:val="16"/>
              </w:rPr>
              <w:t xml:space="preserve"> 2016</w:t>
            </w:r>
          </w:p>
        </w:tc>
        <w:tc>
          <w:tcPr>
            <w:tcW w:w="1129" w:type="dxa"/>
            <w:tcBorders>
              <w:top w:val="single" w:sz="8" w:space="0" w:color="auto"/>
              <w:left w:val="nil"/>
              <w:right w:val="nil"/>
            </w:tcBorders>
            <w:shd w:val="clear" w:color="000000" w:fill="FFFFFF"/>
            <w:noWrap/>
            <w:hideMark/>
          </w:tcPr>
          <w:p w14:paraId="717FD2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137" w:type="dxa"/>
            <w:tcBorders>
              <w:top w:val="single" w:sz="8" w:space="0" w:color="auto"/>
              <w:left w:val="nil"/>
              <w:right w:val="nil"/>
            </w:tcBorders>
            <w:shd w:val="clear" w:color="000000" w:fill="FFFFFF"/>
            <w:hideMark/>
          </w:tcPr>
          <w:p w14:paraId="4FB31D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60" w:type="dxa"/>
            <w:tcBorders>
              <w:top w:val="single" w:sz="8" w:space="0" w:color="auto"/>
              <w:left w:val="nil"/>
              <w:right w:val="nil"/>
            </w:tcBorders>
            <w:shd w:val="clear" w:color="000000" w:fill="FFFFFF"/>
            <w:hideMark/>
          </w:tcPr>
          <w:p w14:paraId="2579CF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99,2</w:t>
            </w:r>
          </w:p>
        </w:tc>
        <w:tc>
          <w:tcPr>
            <w:tcW w:w="872" w:type="dxa"/>
            <w:tcBorders>
              <w:top w:val="single" w:sz="8" w:space="0" w:color="auto"/>
              <w:left w:val="nil"/>
              <w:right w:val="nil"/>
            </w:tcBorders>
            <w:shd w:val="clear" w:color="000000" w:fill="FFFFFF"/>
            <w:hideMark/>
          </w:tcPr>
          <w:p w14:paraId="4D1FF7D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(132/133)</w:t>
            </w:r>
          </w:p>
        </w:tc>
        <w:tc>
          <w:tcPr>
            <w:tcW w:w="996" w:type="dxa"/>
            <w:tcBorders>
              <w:top w:val="single" w:sz="8" w:space="0" w:color="auto"/>
              <w:left w:val="nil"/>
              <w:right w:val="nil"/>
            </w:tcBorders>
            <w:shd w:val="clear" w:color="000000" w:fill="FFFFFF"/>
          </w:tcPr>
          <w:p w14:paraId="5E74839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80" w:type="dxa"/>
            <w:tcBorders>
              <w:top w:val="single" w:sz="8" w:space="0" w:color="auto"/>
              <w:left w:val="nil"/>
              <w:right w:val="nil"/>
            </w:tcBorders>
            <w:shd w:val="clear" w:color="000000" w:fill="FFFFFF"/>
          </w:tcPr>
          <w:p w14:paraId="36EA364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26" w:type="dxa"/>
            <w:gridSpan w:val="2"/>
            <w:tcBorders>
              <w:top w:val="single" w:sz="8" w:space="0" w:color="auto"/>
              <w:left w:val="nil"/>
              <w:right w:val="nil"/>
            </w:tcBorders>
            <w:shd w:val="clear" w:color="000000" w:fill="FFFFFF"/>
          </w:tcPr>
          <w:p w14:paraId="52319251"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47" w:type="dxa"/>
            <w:tcBorders>
              <w:top w:val="single" w:sz="8" w:space="0" w:color="auto"/>
              <w:left w:val="nil"/>
              <w:right w:val="nil"/>
            </w:tcBorders>
            <w:shd w:val="clear" w:color="000000" w:fill="FFFFFF"/>
            <w:hideMark/>
          </w:tcPr>
          <w:p w14:paraId="52C71AA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single" w:sz="8" w:space="0" w:color="auto"/>
              <w:left w:val="nil"/>
              <w:right w:val="nil"/>
            </w:tcBorders>
            <w:shd w:val="clear" w:color="000000" w:fill="FFFFFF"/>
            <w:hideMark/>
          </w:tcPr>
          <w:p w14:paraId="3B570B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single" w:sz="8" w:space="0" w:color="auto"/>
              <w:left w:val="nil"/>
              <w:right w:val="nil"/>
            </w:tcBorders>
            <w:shd w:val="clear" w:color="000000" w:fill="FFFFFF"/>
            <w:hideMark/>
          </w:tcPr>
          <w:p w14:paraId="156F96F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8" w:space="0" w:color="auto"/>
              <w:left w:val="nil"/>
              <w:right w:val="nil"/>
            </w:tcBorders>
            <w:shd w:val="clear" w:color="000000" w:fill="FFFFFF"/>
            <w:hideMark/>
          </w:tcPr>
          <w:p w14:paraId="74FEA4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68AD1DE" w14:textId="77777777" w:rsidTr="00CF1C1E">
        <w:trPr>
          <w:trHeight w:val="20"/>
        </w:trPr>
        <w:tc>
          <w:tcPr>
            <w:tcW w:w="1284" w:type="dxa"/>
            <w:tcBorders>
              <w:top w:val="nil"/>
              <w:left w:val="nil"/>
              <w:bottom w:val="nil"/>
              <w:right w:val="nil"/>
            </w:tcBorders>
            <w:shd w:val="clear" w:color="000000" w:fill="FFFFFF"/>
            <w:noWrap/>
            <w:hideMark/>
          </w:tcPr>
          <w:p w14:paraId="1CA14F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single" w:sz="4" w:space="0" w:color="D0CECE" w:themeColor="background2" w:themeShade="E6"/>
              <w:right w:val="nil"/>
            </w:tcBorders>
            <w:shd w:val="clear" w:color="000000" w:fill="FFFFFF"/>
            <w:noWrap/>
            <w:hideMark/>
          </w:tcPr>
          <w:p w14:paraId="738225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single" w:sz="4" w:space="0" w:color="D0CECE" w:themeColor="background2" w:themeShade="E6"/>
              <w:right w:val="nil"/>
            </w:tcBorders>
            <w:shd w:val="clear" w:color="000000" w:fill="FFFFFF"/>
            <w:hideMark/>
          </w:tcPr>
          <w:p w14:paraId="62EA88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60" w:type="dxa"/>
            <w:tcBorders>
              <w:top w:val="nil"/>
              <w:left w:val="nil"/>
              <w:bottom w:val="single" w:sz="4" w:space="0" w:color="D0CECE" w:themeColor="background2" w:themeShade="E6"/>
              <w:right w:val="nil"/>
            </w:tcBorders>
            <w:shd w:val="clear" w:color="000000" w:fill="FFFFFF"/>
            <w:hideMark/>
          </w:tcPr>
          <w:p w14:paraId="5A90D4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72,2</w:t>
            </w:r>
          </w:p>
        </w:tc>
        <w:tc>
          <w:tcPr>
            <w:tcW w:w="872" w:type="dxa"/>
            <w:tcBorders>
              <w:top w:val="nil"/>
              <w:left w:val="nil"/>
              <w:bottom w:val="single" w:sz="4" w:space="0" w:color="D0CECE" w:themeColor="background2" w:themeShade="E6"/>
              <w:right w:val="nil"/>
            </w:tcBorders>
            <w:shd w:val="clear" w:color="000000" w:fill="FFFFFF"/>
            <w:hideMark/>
          </w:tcPr>
          <w:p w14:paraId="012DAEA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(96/133)</w:t>
            </w:r>
          </w:p>
        </w:tc>
        <w:tc>
          <w:tcPr>
            <w:tcW w:w="996" w:type="dxa"/>
            <w:tcBorders>
              <w:top w:val="nil"/>
              <w:left w:val="nil"/>
              <w:bottom w:val="single" w:sz="4" w:space="0" w:color="D0CECE" w:themeColor="background2" w:themeShade="E6"/>
              <w:right w:val="nil"/>
            </w:tcBorders>
            <w:shd w:val="clear" w:color="000000" w:fill="FFFFFF"/>
          </w:tcPr>
          <w:p w14:paraId="5090CE0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80" w:type="dxa"/>
            <w:tcBorders>
              <w:top w:val="nil"/>
              <w:left w:val="nil"/>
              <w:bottom w:val="single" w:sz="4" w:space="0" w:color="D0CECE" w:themeColor="background2" w:themeShade="E6"/>
              <w:right w:val="nil"/>
            </w:tcBorders>
            <w:shd w:val="clear" w:color="000000" w:fill="FFFFFF"/>
          </w:tcPr>
          <w:p w14:paraId="5E3C81D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26" w:type="dxa"/>
            <w:gridSpan w:val="2"/>
            <w:tcBorders>
              <w:top w:val="nil"/>
              <w:left w:val="nil"/>
              <w:bottom w:val="single" w:sz="4" w:space="0" w:color="D0CECE" w:themeColor="background2" w:themeShade="E6"/>
              <w:right w:val="nil"/>
            </w:tcBorders>
            <w:shd w:val="clear" w:color="000000" w:fill="FFFFFF"/>
          </w:tcPr>
          <w:p w14:paraId="524EDDBD"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47" w:type="dxa"/>
            <w:tcBorders>
              <w:top w:val="nil"/>
              <w:left w:val="nil"/>
              <w:bottom w:val="single" w:sz="4" w:space="0" w:color="D0CECE" w:themeColor="background2" w:themeShade="E6"/>
              <w:right w:val="nil"/>
            </w:tcBorders>
            <w:shd w:val="clear" w:color="000000" w:fill="FFFFFF"/>
            <w:hideMark/>
          </w:tcPr>
          <w:p w14:paraId="369D8F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nil"/>
              <w:left w:val="nil"/>
              <w:bottom w:val="single" w:sz="4" w:space="0" w:color="D0CECE" w:themeColor="background2" w:themeShade="E6"/>
              <w:right w:val="nil"/>
            </w:tcBorders>
            <w:shd w:val="clear" w:color="000000" w:fill="FFFFFF"/>
            <w:hideMark/>
          </w:tcPr>
          <w:p w14:paraId="559414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nil"/>
              <w:left w:val="nil"/>
              <w:bottom w:val="single" w:sz="4" w:space="0" w:color="D0CECE" w:themeColor="background2" w:themeShade="E6"/>
              <w:right w:val="nil"/>
            </w:tcBorders>
            <w:shd w:val="clear" w:color="000000" w:fill="FFFFFF"/>
            <w:hideMark/>
          </w:tcPr>
          <w:p w14:paraId="2CE06C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single" w:sz="4" w:space="0" w:color="D0CECE" w:themeColor="background2" w:themeShade="E6"/>
              <w:right w:val="nil"/>
            </w:tcBorders>
            <w:shd w:val="clear" w:color="000000" w:fill="FFFFFF"/>
            <w:hideMark/>
          </w:tcPr>
          <w:p w14:paraId="38B0ED4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7DE808E" w14:textId="77777777" w:rsidTr="00CF1C1E">
        <w:trPr>
          <w:trHeight w:val="20"/>
        </w:trPr>
        <w:tc>
          <w:tcPr>
            <w:tcW w:w="1284" w:type="dxa"/>
            <w:tcBorders>
              <w:top w:val="nil"/>
              <w:left w:val="nil"/>
              <w:bottom w:val="nil"/>
              <w:right w:val="nil"/>
            </w:tcBorders>
            <w:shd w:val="clear" w:color="000000" w:fill="FFFFFF"/>
            <w:noWrap/>
            <w:hideMark/>
          </w:tcPr>
          <w:p w14:paraId="46A22A2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single" w:sz="4" w:space="0" w:color="D0CECE" w:themeColor="background2" w:themeShade="E6"/>
              <w:left w:val="nil"/>
              <w:bottom w:val="nil"/>
              <w:right w:val="nil"/>
            </w:tcBorders>
            <w:shd w:val="clear" w:color="000000" w:fill="FFFFFF"/>
            <w:noWrap/>
            <w:hideMark/>
          </w:tcPr>
          <w:p w14:paraId="563737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OXN</w:t>
            </w:r>
          </w:p>
        </w:tc>
        <w:tc>
          <w:tcPr>
            <w:tcW w:w="1137" w:type="dxa"/>
            <w:tcBorders>
              <w:top w:val="single" w:sz="4" w:space="0" w:color="D0CECE" w:themeColor="background2" w:themeShade="E6"/>
              <w:left w:val="nil"/>
              <w:bottom w:val="nil"/>
              <w:right w:val="nil"/>
            </w:tcBorders>
            <w:shd w:val="clear" w:color="000000" w:fill="FFFFFF"/>
            <w:hideMark/>
          </w:tcPr>
          <w:p w14:paraId="1F4D08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60" w:type="dxa"/>
            <w:tcBorders>
              <w:top w:val="single" w:sz="4" w:space="0" w:color="D0CECE" w:themeColor="background2" w:themeShade="E6"/>
              <w:left w:val="nil"/>
              <w:bottom w:val="nil"/>
              <w:right w:val="nil"/>
            </w:tcBorders>
            <w:shd w:val="clear" w:color="000000" w:fill="FFFFFF"/>
            <w:hideMark/>
          </w:tcPr>
          <w:p w14:paraId="69443F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98,4</w:t>
            </w:r>
          </w:p>
        </w:tc>
        <w:tc>
          <w:tcPr>
            <w:tcW w:w="872" w:type="dxa"/>
            <w:tcBorders>
              <w:top w:val="single" w:sz="4" w:space="0" w:color="D0CECE" w:themeColor="background2" w:themeShade="E6"/>
              <w:left w:val="nil"/>
              <w:bottom w:val="nil"/>
              <w:right w:val="nil"/>
            </w:tcBorders>
            <w:shd w:val="clear" w:color="000000" w:fill="FFFFFF"/>
            <w:hideMark/>
          </w:tcPr>
          <w:p w14:paraId="7A5710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(126/128)</w:t>
            </w:r>
          </w:p>
        </w:tc>
        <w:tc>
          <w:tcPr>
            <w:tcW w:w="996" w:type="dxa"/>
            <w:tcBorders>
              <w:top w:val="single" w:sz="4" w:space="0" w:color="D0CECE" w:themeColor="background2" w:themeShade="E6"/>
              <w:left w:val="nil"/>
              <w:bottom w:val="nil"/>
              <w:right w:val="nil"/>
            </w:tcBorders>
            <w:shd w:val="clear" w:color="000000" w:fill="FFFFFF"/>
          </w:tcPr>
          <w:p w14:paraId="79274875"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80" w:type="dxa"/>
            <w:tcBorders>
              <w:top w:val="single" w:sz="4" w:space="0" w:color="D0CECE" w:themeColor="background2" w:themeShade="E6"/>
              <w:left w:val="nil"/>
              <w:bottom w:val="nil"/>
              <w:right w:val="nil"/>
            </w:tcBorders>
            <w:shd w:val="clear" w:color="000000" w:fill="FFFFFF"/>
          </w:tcPr>
          <w:p w14:paraId="7313B6B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26" w:type="dxa"/>
            <w:gridSpan w:val="2"/>
            <w:tcBorders>
              <w:top w:val="single" w:sz="4" w:space="0" w:color="D0CECE" w:themeColor="background2" w:themeShade="E6"/>
              <w:left w:val="nil"/>
              <w:bottom w:val="nil"/>
              <w:right w:val="nil"/>
            </w:tcBorders>
            <w:shd w:val="clear" w:color="000000" w:fill="FFFFFF"/>
          </w:tcPr>
          <w:p w14:paraId="5654D727"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47" w:type="dxa"/>
            <w:tcBorders>
              <w:top w:val="single" w:sz="4" w:space="0" w:color="D0CECE" w:themeColor="background2" w:themeShade="E6"/>
              <w:left w:val="nil"/>
              <w:bottom w:val="nil"/>
              <w:right w:val="nil"/>
            </w:tcBorders>
            <w:shd w:val="clear" w:color="000000" w:fill="FFFFFF"/>
            <w:hideMark/>
          </w:tcPr>
          <w:p w14:paraId="0FCEE3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single" w:sz="4" w:space="0" w:color="D0CECE" w:themeColor="background2" w:themeShade="E6"/>
              <w:left w:val="nil"/>
              <w:bottom w:val="nil"/>
              <w:right w:val="nil"/>
            </w:tcBorders>
            <w:shd w:val="clear" w:color="000000" w:fill="FFFFFF"/>
            <w:hideMark/>
          </w:tcPr>
          <w:p w14:paraId="0EEE71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single" w:sz="4" w:space="0" w:color="D0CECE" w:themeColor="background2" w:themeShade="E6"/>
              <w:left w:val="nil"/>
              <w:bottom w:val="nil"/>
              <w:right w:val="nil"/>
            </w:tcBorders>
            <w:shd w:val="clear" w:color="000000" w:fill="FFFFFF"/>
            <w:hideMark/>
          </w:tcPr>
          <w:p w14:paraId="6C766D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4" w:space="0" w:color="D0CECE" w:themeColor="background2" w:themeShade="E6"/>
              <w:left w:val="nil"/>
              <w:bottom w:val="nil"/>
              <w:right w:val="nil"/>
            </w:tcBorders>
            <w:shd w:val="clear" w:color="000000" w:fill="FFFFFF"/>
            <w:hideMark/>
          </w:tcPr>
          <w:p w14:paraId="164388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DC792F5" w14:textId="77777777" w:rsidTr="00CF1C1E">
        <w:trPr>
          <w:trHeight w:val="20"/>
        </w:trPr>
        <w:tc>
          <w:tcPr>
            <w:tcW w:w="1284" w:type="dxa"/>
            <w:tcBorders>
              <w:top w:val="nil"/>
              <w:left w:val="nil"/>
              <w:bottom w:val="nil"/>
              <w:right w:val="nil"/>
            </w:tcBorders>
            <w:shd w:val="clear" w:color="000000" w:fill="FFFFFF"/>
            <w:noWrap/>
            <w:hideMark/>
          </w:tcPr>
          <w:p w14:paraId="6DF694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nil"/>
              <w:right w:val="nil"/>
            </w:tcBorders>
            <w:shd w:val="clear" w:color="000000" w:fill="FFFFFF"/>
            <w:noWrap/>
            <w:hideMark/>
          </w:tcPr>
          <w:p w14:paraId="279EDB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nil"/>
              <w:right w:val="nil"/>
            </w:tcBorders>
            <w:shd w:val="clear" w:color="000000" w:fill="FFFFFF"/>
            <w:hideMark/>
          </w:tcPr>
          <w:p w14:paraId="144A8D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60" w:type="dxa"/>
            <w:tcBorders>
              <w:top w:val="nil"/>
              <w:left w:val="nil"/>
              <w:bottom w:val="nil"/>
              <w:right w:val="nil"/>
            </w:tcBorders>
            <w:shd w:val="clear" w:color="000000" w:fill="FFFFFF"/>
            <w:hideMark/>
          </w:tcPr>
          <w:p w14:paraId="0B31F6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66,4</w:t>
            </w:r>
          </w:p>
        </w:tc>
        <w:tc>
          <w:tcPr>
            <w:tcW w:w="872" w:type="dxa"/>
            <w:tcBorders>
              <w:top w:val="nil"/>
              <w:left w:val="nil"/>
              <w:bottom w:val="nil"/>
              <w:right w:val="nil"/>
            </w:tcBorders>
            <w:shd w:val="clear" w:color="000000" w:fill="FFFFFF"/>
            <w:hideMark/>
          </w:tcPr>
          <w:p w14:paraId="16D275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(85/128)</w:t>
            </w:r>
          </w:p>
        </w:tc>
        <w:tc>
          <w:tcPr>
            <w:tcW w:w="996" w:type="dxa"/>
            <w:tcBorders>
              <w:top w:val="nil"/>
              <w:left w:val="nil"/>
              <w:bottom w:val="nil"/>
              <w:right w:val="nil"/>
            </w:tcBorders>
            <w:shd w:val="clear" w:color="000000" w:fill="FFFFFF"/>
          </w:tcPr>
          <w:p w14:paraId="22E980A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80" w:type="dxa"/>
            <w:tcBorders>
              <w:top w:val="nil"/>
              <w:left w:val="nil"/>
              <w:bottom w:val="nil"/>
              <w:right w:val="nil"/>
            </w:tcBorders>
            <w:shd w:val="clear" w:color="000000" w:fill="FFFFFF"/>
          </w:tcPr>
          <w:p w14:paraId="72FA57EB"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226" w:type="dxa"/>
            <w:gridSpan w:val="2"/>
            <w:tcBorders>
              <w:top w:val="nil"/>
              <w:left w:val="nil"/>
              <w:bottom w:val="nil"/>
              <w:right w:val="nil"/>
            </w:tcBorders>
            <w:shd w:val="clear" w:color="000000" w:fill="FFFFFF"/>
          </w:tcPr>
          <w:p w14:paraId="090BC1DE"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347" w:type="dxa"/>
            <w:tcBorders>
              <w:top w:val="nil"/>
              <w:left w:val="nil"/>
              <w:bottom w:val="nil"/>
              <w:right w:val="nil"/>
            </w:tcBorders>
            <w:shd w:val="clear" w:color="000000" w:fill="FFFFFF"/>
            <w:hideMark/>
          </w:tcPr>
          <w:p w14:paraId="23191F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nil"/>
              <w:left w:val="nil"/>
              <w:bottom w:val="nil"/>
              <w:right w:val="nil"/>
            </w:tcBorders>
            <w:shd w:val="clear" w:color="000000" w:fill="FFFFFF"/>
            <w:hideMark/>
          </w:tcPr>
          <w:p w14:paraId="15EA2BA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nil"/>
              <w:left w:val="nil"/>
              <w:bottom w:val="nil"/>
              <w:right w:val="nil"/>
            </w:tcBorders>
            <w:shd w:val="clear" w:color="000000" w:fill="FFFFFF"/>
            <w:hideMark/>
          </w:tcPr>
          <w:p w14:paraId="539A53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hideMark/>
          </w:tcPr>
          <w:p w14:paraId="6278C26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D4CAC4F" w14:textId="77777777" w:rsidTr="00CF1C1E">
        <w:trPr>
          <w:trHeight w:val="20"/>
        </w:trPr>
        <w:tc>
          <w:tcPr>
            <w:tcW w:w="1284" w:type="dxa"/>
            <w:tcBorders>
              <w:top w:val="single" w:sz="8" w:space="0" w:color="auto"/>
              <w:left w:val="nil"/>
              <w:bottom w:val="nil"/>
              <w:right w:val="nil"/>
            </w:tcBorders>
            <w:shd w:val="clear" w:color="000000" w:fill="FFFFFF"/>
            <w:noWrap/>
            <w:hideMark/>
          </w:tcPr>
          <w:p w14:paraId="7C5DA6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Samolsky</w:t>
            </w:r>
            <w:proofErr w:type="spellEnd"/>
            <w:r w:rsidRPr="00367BEC">
              <w:rPr>
                <w:rFonts w:ascii="Times New Roman" w:hAnsi="Times New Roman"/>
                <w:color w:val="000000"/>
                <w:sz w:val="16"/>
              </w:rPr>
              <w:t xml:space="preserve"> 2015</w:t>
            </w:r>
          </w:p>
        </w:tc>
        <w:tc>
          <w:tcPr>
            <w:tcW w:w="1129" w:type="dxa"/>
            <w:tcBorders>
              <w:top w:val="single" w:sz="8" w:space="0" w:color="auto"/>
              <w:left w:val="nil"/>
              <w:bottom w:val="nil"/>
              <w:right w:val="nil"/>
            </w:tcBorders>
            <w:shd w:val="clear" w:color="000000" w:fill="FFFFFF"/>
            <w:noWrap/>
            <w:hideMark/>
          </w:tcPr>
          <w:p w14:paraId="2FBC2E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single" w:sz="8" w:space="0" w:color="auto"/>
              <w:left w:val="nil"/>
              <w:bottom w:val="nil"/>
              <w:right w:val="nil"/>
            </w:tcBorders>
            <w:shd w:val="clear" w:color="000000" w:fill="FFFFFF"/>
            <w:hideMark/>
          </w:tcPr>
          <w:p w14:paraId="61550E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Opioides</w:t>
            </w:r>
          </w:p>
        </w:tc>
        <w:tc>
          <w:tcPr>
            <w:tcW w:w="360" w:type="dxa"/>
            <w:tcBorders>
              <w:top w:val="single" w:sz="8" w:space="0" w:color="auto"/>
              <w:left w:val="nil"/>
              <w:bottom w:val="nil"/>
              <w:right w:val="nil"/>
            </w:tcBorders>
            <w:shd w:val="clear" w:color="000000" w:fill="FFFFFF"/>
            <w:hideMark/>
          </w:tcPr>
          <w:p w14:paraId="170830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43,0</w:t>
            </w:r>
          </w:p>
        </w:tc>
        <w:tc>
          <w:tcPr>
            <w:tcW w:w="872" w:type="dxa"/>
            <w:tcBorders>
              <w:top w:val="single" w:sz="8" w:space="0" w:color="auto"/>
              <w:left w:val="nil"/>
              <w:bottom w:val="nil"/>
              <w:right w:val="nil"/>
            </w:tcBorders>
            <w:shd w:val="clear" w:color="000000" w:fill="FFFFFF"/>
            <w:hideMark/>
          </w:tcPr>
          <w:p w14:paraId="303213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(13/30)</w:t>
            </w:r>
          </w:p>
        </w:tc>
        <w:tc>
          <w:tcPr>
            <w:tcW w:w="996" w:type="dxa"/>
            <w:tcBorders>
              <w:top w:val="single" w:sz="8" w:space="0" w:color="auto"/>
              <w:left w:val="nil"/>
              <w:bottom w:val="nil"/>
              <w:right w:val="nil"/>
            </w:tcBorders>
            <w:shd w:val="clear" w:color="000000" w:fill="FFFFFF"/>
            <w:hideMark/>
          </w:tcPr>
          <w:p w14:paraId="0C28B6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8" w:space="0" w:color="auto"/>
              <w:left w:val="nil"/>
              <w:bottom w:val="nil"/>
              <w:right w:val="nil"/>
            </w:tcBorders>
            <w:shd w:val="clear" w:color="000000" w:fill="FFFFFF"/>
            <w:hideMark/>
          </w:tcPr>
          <w:p w14:paraId="10DCD6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6" w:type="dxa"/>
            <w:gridSpan w:val="2"/>
            <w:tcBorders>
              <w:top w:val="single" w:sz="8" w:space="0" w:color="auto"/>
              <w:left w:val="nil"/>
              <w:bottom w:val="nil"/>
              <w:right w:val="nil"/>
            </w:tcBorders>
            <w:shd w:val="clear" w:color="000000" w:fill="FFFFFF"/>
            <w:hideMark/>
          </w:tcPr>
          <w:p w14:paraId="030BCB6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47" w:type="dxa"/>
            <w:tcBorders>
              <w:top w:val="single" w:sz="8" w:space="0" w:color="auto"/>
              <w:left w:val="nil"/>
              <w:bottom w:val="nil"/>
              <w:right w:val="nil"/>
            </w:tcBorders>
            <w:shd w:val="clear" w:color="000000" w:fill="FFFFFF"/>
            <w:hideMark/>
          </w:tcPr>
          <w:p w14:paraId="7687B1E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single" w:sz="8" w:space="0" w:color="auto"/>
              <w:left w:val="nil"/>
              <w:bottom w:val="nil"/>
              <w:right w:val="nil"/>
            </w:tcBorders>
            <w:shd w:val="clear" w:color="000000" w:fill="FFFFFF"/>
            <w:hideMark/>
          </w:tcPr>
          <w:p w14:paraId="4EC078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single" w:sz="8" w:space="0" w:color="auto"/>
              <w:left w:val="nil"/>
              <w:bottom w:val="nil"/>
              <w:right w:val="nil"/>
            </w:tcBorders>
            <w:shd w:val="clear" w:color="000000" w:fill="FFFFFF"/>
            <w:hideMark/>
          </w:tcPr>
          <w:p w14:paraId="48E952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8" w:space="0" w:color="auto"/>
              <w:left w:val="nil"/>
              <w:bottom w:val="nil"/>
              <w:right w:val="nil"/>
            </w:tcBorders>
            <w:shd w:val="clear" w:color="000000" w:fill="FFFFFF"/>
            <w:hideMark/>
          </w:tcPr>
          <w:p w14:paraId="3A0498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2843A7F" w14:textId="77777777" w:rsidTr="00CF1C1E">
        <w:trPr>
          <w:trHeight w:val="20"/>
        </w:trPr>
        <w:tc>
          <w:tcPr>
            <w:tcW w:w="1284" w:type="dxa"/>
            <w:tcBorders>
              <w:top w:val="single" w:sz="8" w:space="0" w:color="auto"/>
              <w:left w:val="nil"/>
              <w:bottom w:val="nil"/>
              <w:right w:val="nil"/>
            </w:tcBorders>
            <w:shd w:val="clear" w:color="000000" w:fill="FFFFFF"/>
            <w:noWrap/>
            <w:hideMark/>
          </w:tcPr>
          <w:p w14:paraId="617B44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Strick</w:t>
            </w:r>
            <w:proofErr w:type="spellEnd"/>
            <w:r w:rsidRPr="00367BEC">
              <w:rPr>
                <w:rFonts w:ascii="Times New Roman" w:hAnsi="Times New Roman"/>
                <w:color w:val="000000"/>
                <w:sz w:val="16"/>
              </w:rPr>
              <w:t xml:space="preserve"> 2014</w:t>
            </w:r>
          </w:p>
        </w:tc>
        <w:tc>
          <w:tcPr>
            <w:tcW w:w="1129" w:type="dxa"/>
            <w:vMerge w:val="restart"/>
            <w:tcBorders>
              <w:top w:val="single" w:sz="8" w:space="0" w:color="auto"/>
              <w:left w:val="nil"/>
              <w:bottom w:val="single" w:sz="4" w:space="0" w:color="000000"/>
              <w:right w:val="nil"/>
            </w:tcBorders>
            <w:shd w:val="clear" w:color="000000" w:fill="FFFFFF"/>
            <w:noWrap/>
            <w:hideMark/>
          </w:tcPr>
          <w:p w14:paraId="5108F2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(3 m)</w:t>
            </w:r>
          </w:p>
        </w:tc>
        <w:tc>
          <w:tcPr>
            <w:tcW w:w="1137" w:type="dxa"/>
            <w:tcBorders>
              <w:top w:val="single" w:sz="8" w:space="0" w:color="auto"/>
              <w:left w:val="nil"/>
              <w:bottom w:val="nil"/>
              <w:right w:val="nil"/>
            </w:tcBorders>
            <w:shd w:val="clear" w:color="000000" w:fill="FFFFFF"/>
            <w:hideMark/>
          </w:tcPr>
          <w:p w14:paraId="5F3A01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60" w:type="dxa"/>
            <w:tcBorders>
              <w:top w:val="single" w:sz="8" w:space="0" w:color="auto"/>
              <w:left w:val="nil"/>
              <w:bottom w:val="nil"/>
              <w:right w:val="nil"/>
            </w:tcBorders>
            <w:shd w:val="clear" w:color="000000" w:fill="FFFFFF"/>
            <w:hideMark/>
          </w:tcPr>
          <w:p w14:paraId="4F681B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41,7</w:t>
            </w:r>
          </w:p>
        </w:tc>
        <w:tc>
          <w:tcPr>
            <w:tcW w:w="872" w:type="dxa"/>
            <w:tcBorders>
              <w:top w:val="single" w:sz="8" w:space="0" w:color="auto"/>
              <w:left w:val="nil"/>
              <w:bottom w:val="nil"/>
              <w:right w:val="nil"/>
            </w:tcBorders>
            <w:shd w:val="clear" w:color="000000" w:fill="FFFFFF"/>
            <w:hideMark/>
          </w:tcPr>
          <w:p w14:paraId="67FEED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(608/1457)</w:t>
            </w:r>
          </w:p>
        </w:tc>
        <w:tc>
          <w:tcPr>
            <w:tcW w:w="996" w:type="dxa"/>
            <w:tcBorders>
              <w:top w:val="single" w:sz="8" w:space="0" w:color="auto"/>
              <w:left w:val="nil"/>
              <w:bottom w:val="nil"/>
              <w:right w:val="nil"/>
            </w:tcBorders>
            <w:shd w:val="clear" w:color="000000" w:fill="FFFFFF"/>
            <w:hideMark/>
          </w:tcPr>
          <w:p w14:paraId="39EBF3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80" w:type="dxa"/>
            <w:tcBorders>
              <w:top w:val="single" w:sz="8" w:space="0" w:color="auto"/>
              <w:left w:val="nil"/>
              <w:bottom w:val="nil"/>
              <w:right w:val="nil"/>
            </w:tcBorders>
            <w:shd w:val="clear" w:color="000000" w:fill="FFFFFF"/>
            <w:hideMark/>
          </w:tcPr>
          <w:p w14:paraId="2BEAF3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w:t>
            </w:r>
          </w:p>
        </w:tc>
        <w:tc>
          <w:tcPr>
            <w:tcW w:w="1226" w:type="dxa"/>
            <w:gridSpan w:val="2"/>
            <w:tcBorders>
              <w:top w:val="single" w:sz="8" w:space="0" w:color="auto"/>
              <w:left w:val="nil"/>
              <w:bottom w:val="nil"/>
              <w:right w:val="nil"/>
            </w:tcBorders>
            <w:shd w:val="clear" w:color="000000" w:fill="FFFFFF"/>
            <w:hideMark/>
          </w:tcPr>
          <w:p w14:paraId="6F9098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95</w:t>
            </w:r>
            <w:r w:rsidRPr="00367BEC">
              <w:rPr>
                <w:rFonts w:ascii="Times New Roman" w:hAnsi="Times New Roman"/>
                <w:color w:val="000000"/>
                <w:sz w:val="16"/>
              </w:rPr>
              <w:t>/1457)</w:t>
            </w:r>
          </w:p>
        </w:tc>
        <w:tc>
          <w:tcPr>
            <w:tcW w:w="347" w:type="dxa"/>
            <w:tcBorders>
              <w:top w:val="single" w:sz="8" w:space="0" w:color="auto"/>
              <w:left w:val="nil"/>
              <w:bottom w:val="nil"/>
              <w:right w:val="nil"/>
            </w:tcBorders>
            <w:shd w:val="clear" w:color="000000" w:fill="FFFFFF"/>
            <w:hideMark/>
          </w:tcPr>
          <w:p w14:paraId="194627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7,4</w:t>
            </w:r>
          </w:p>
        </w:tc>
        <w:tc>
          <w:tcPr>
            <w:tcW w:w="1197" w:type="dxa"/>
            <w:gridSpan w:val="2"/>
            <w:tcBorders>
              <w:top w:val="single" w:sz="8" w:space="0" w:color="auto"/>
              <w:left w:val="nil"/>
              <w:bottom w:val="nil"/>
              <w:right w:val="nil"/>
            </w:tcBorders>
            <w:shd w:val="clear" w:color="000000" w:fill="FFFFFF"/>
            <w:hideMark/>
          </w:tcPr>
          <w:p w14:paraId="337601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108</w:t>
            </w:r>
            <w:r w:rsidRPr="00367BEC">
              <w:rPr>
                <w:rFonts w:ascii="Times New Roman" w:hAnsi="Times New Roman"/>
                <w:color w:val="000000"/>
                <w:sz w:val="16"/>
              </w:rPr>
              <w:t>/1457)</w:t>
            </w:r>
          </w:p>
        </w:tc>
        <w:tc>
          <w:tcPr>
            <w:tcW w:w="1205" w:type="dxa"/>
            <w:tcBorders>
              <w:top w:val="single" w:sz="8" w:space="0" w:color="auto"/>
              <w:left w:val="nil"/>
              <w:bottom w:val="nil"/>
              <w:right w:val="nil"/>
            </w:tcBorders>
            <w:shd w:val="clear" w:color="000000" w:fill="FFFFFF"/>
            <w:hideMark/>
          </w:tcPr>
          <w:p w14:paraId="512E9A2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0,9</w:t>
            </w:r>
          </w:p>
        </w:tc>
        <w:tc>
          <w:tcPr>
            <w:tcW w:w="1467" w:type="dxa"/>
            <w:tcBorders>
              <w:top w:val="single" w:sz="8" w:space="0" w:color="auto"/>
              <w:left w:val="nil"/>
              <w:bottom w:val="nil"/>
              <w:right w:val="nil"/>
            </w:tcBorders>
            <w:shd w:val="clear" w:color="000000" w:fill="FFFFFF"/>
            <w:hideMark/>
          </w:tcPr>
          <w:p w14:paraId="03DD0E8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13,8</w:t>
            </w:r>
          </w:p>
        </w:tc>
      </w:tr>
      <w:tr w:rsidR="002E4D99" w:rsidRPr="00367BEC" w14:paraId="6D8D5918" w14:textId="77777777" w:rsidTr="00CF1C1E">
        <w:trPr>
          <w:trHeight w:val="20"/>
        </w:trPr>
        <w:tc>
          <w:tcPr>
            <w:tcW w:w="1284" w:type="dxa"/>
            <w:tcBorders>
              <w:top w:val="nil"/>
              <w:left w:val="nil"/>
              <w:bottom w:val="nil"/>
              <w:right w:val="nil"/>
            </w:tcBorders>
            <w:shd w:val="clear" w:color="000000" w:fill="FFFFFF"/>
            <w:noWrap/>
            <w:hideMark/>
          </w:tcPr>
          <w:p w14:paraId="35C4FCF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vMerge/>
            <w:tcBorders>
              <w:top w:val="single" w:sz="8" w:space="0" w:color="auto"/>
              <w:left w:val="nil"/>
              <w:bottom w:val="single" w:sz="4" w:space="0" w:color="000000"/>
              <w:right w:val="nil"/>
            </w:tcBorders>
            <w:vAlign w:val="center"/>
            <w:hideMark/>
          </w:tcPr>
          <w:p w14:paraId="61297FF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137" w:type="dxa"/>
            <w:tcBorders>
              <w:top w:val="nil"/>
              <w:left w:val="nil"/>
              <w:bottom w:val="nil"/>
              <w:right w:val="nil"/>
            </w:tcBorders>
            <w:shd w:val="clear" w:color="000000" w:fill="FFFFFF"/>
            <w:hideMark/>
          </w:tcPr>
          <w:p w14:paraId="101F51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60" w:type="dxa"/>
            <w:tcBorders>
              <w:top w:val="nil"/>
              <w:left w:val="nil"/>
              <w:bottom w:val="nil"/>
              <w:right w:val="nil"/>
            </w:tcBorders>
            <w:shd w:val="clear" w:color="000000" w:fill="FFFFFF"/>
            <w:hideMark/>
          </w:tcPr>
          <w:p w14:paraId="1C74E7D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34,8</w:t>
            </w:r>
          </w:p>
        </w:tc>
        <w:tc>
          <w:tcPr>
            <w:tcW w:w="872" w:type="dxa"/>
            <w:tcBorders>
              <w:top w:val="nil"/>
              <w:left w:val="nil"/>
              <w:bottom w:val="nil"/>
              <w:right w:val="nil"/>
            </w:tcBorders>
            <w:shd w:val="clear" w:color="000000" w:fill="FFFFFF"/>
            <w:hideMark/>
          </w:tcPr>
          <w:p w14:paraId="4BEE08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(507/1457)</w:t>
            </w:r>
          </w:p>
        </w:tc>
        <w:tc>
          <w:tcPr>
            <w:tcW w:w="996" w:type="dxa"/>
            <w:tcBorders>
              <w:top w:val="nil"/>
              <w:left w:val="nil"/>
              <w:bottom w:val="nil"/>
              <w:right w:val="nil"/>
            </w:tcBorders>
            <w:shd w:val="clear" w:color="000000" w:fill="FFFFFF"/>
            <w:hideMark/>
          </w:tcPr>
          <w:p w14:paraId="05B8C8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80" w:type="dxa"/>
            <w:tcBorders>
              <w:top w:val="nil"/>
              <w:left w:val="nil"/>
              <w:bottom w:val="nil"/>
              <w:right w:val="nil"/>
            </w:tcBorders>
            <w:shd w:val="clear" w:color="000000" w:fill="FFFFFF"/>
            <w:hideMark/>
          </w:tcPr>
          <w:p w14:paraId="1CE60E3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w:t>
            </w:r>
          </w:p>
        </w:tc>
        <w:tc>
          <w:tcPr>
            <w:tcW w:w="1226" w:type="dxa"/>
            <w:gridSpan w:val="2"/>
            <w:tcBorders>
              <w:top w:val="nil"/>
              <w:left w:val="nil"/>
              <w:bottom w:val="nil"/>
              <w:right w:val="nil"/>
            </w:tcBorders>
            <w:shd w:val="clear" w:color="000000" w:fill="FFFFFF"/>
            <w:hideMark/>
          </w:tcPr>
          <w:p w14:paraId="40BB65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52</w:t>
            </w:r>
            <w:r w:rsidRPr="00367BEC">
              <w:rPr>
                <w:rFonts w:ascii="Times New Roman" w:hAnsi="Times New Roman"/>
                <w:color w:val="000000"/>
                <w:sz w:val="16"/>
              </w:rPr>
              <w:t>/1457)</w:t>
            </w:r>
          </w:p>
        </w:tc>
        <w:tc>
          <w:tcPr>
            <w:tcW w:w="347" w:type="dxa"/>
            <w:tcBorders>
              <w:top w:val="nil"/>
              <w:left w:val="nil"/>
              <w:bottom w:val="nil"/>
              <w:right w:val="nil"/>
            </w:tcBorders>
            <w:shd w:val="clear" w:color="000000" w:fill="FFFFFF"/>
            <w:hideMark/>
          </w:tcPr>
          <w:p w14:paraId="7038DC6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2,8</w:t>
            </w:r>
          </w:p>
        </w:tc>
        <w:tc>
          <w:tcPr>
            <w:tcW w:w="1197" w:type="dxa"/>
            <w:gridSpan w:val="2"/>
            <w:tcBorders>
              <w:top w:val="nil"/>
              <w:left w:val="nil"/>
              <w:bottom w:val="nil"/>
              <w:right w:val="nil"/>
            </w:tcBorders>
            <w:shd w:val="clear" w:color="000000" w:fill="FFFFFF"/>
            <w:hideMark/>
          </w:tcPr>
          <w:p w14:paraId="506BBEC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41</w:t>
            </w:r>
            <w:r w:rsidRPr="00367BEC">
              <w:rPr>
                <w:rFonts w:ascii="Times New Roman" w:hAnsi="Times New Roman"/>
                <w:color w:val="000000"/>
                <w:sz w:val="16"/>
              </w:rPr>
              <w:t>/1457)</w:t>
            </w:r>
          </w:p>
        </w:tc>
        <w:tc>
          <w:tcPr>
            <w:tcW w:w="1205" w:type="dxa"/>
            <w:tcBorders>
              <w:top w:val="nil"/>
              <w:left w:val="nil"/>
              <w:bottom w:val="nil"/>
              <w:right w:val="nil"/>
            </w:tcBorders>
            <w:shd w:val="clear" w:color="000000" w:fill="FFFFFF"/>
            <w:hideMark/>
          </w:tcPr>
          <w:p w14:paraId="5083634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−0,8</w:t>
            </w:r>
          </w:p>
        </w:tc>
        <w:tc>
          <w:tcPr>
            <w:tcW w:w="1467" w:type="dxa"/>
            <w:tcBorders>
              <w:top w:val="nil"/>
              <w:left w:val="nil"/>
              <w:bottom w:val="nil"/>
              <w:right w:val="nil"/>
            </w:tcBorders>
            <w:shd w:val="clear" w:color="000000" w:fill="FFFFFF"/>
            <w:hideMark/>
          </w:tcPr>
          <w:p w14:paraId="5B83E24C"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−22,2</w:t>
            </w:r>
          </w:p>
        </w:tc>
      </w:tr>
      <w:tr w:rsidR="002E4D99" w:rsidRPr="00367BEC" w14:paraId="3336C342" w14:textId="77777777" w:rsidTr="00CF1C1E">
        <w:trPr>
          <w:trHeight w:val="20"/>
        </w:trPr>
        <w:tc>
          <w:tcPr>
            <w:tcW w:w="1284" w:type="dxa"/>
            <w:tcBorders>
              <w:top w:val="nil"/>
              <w:left w:val="nil"/>
              <w:bottom w:val="nil"/>
              <w:right w:val="nil"/>
            </w:tcBorders>
            <w:shd w:val="clear" w:color="000000" w:fill="FFFFFF"/>
            <w:noWrap/>
            <w:hideMark/>
          </w:tcPr>
          <w:p w14:paraId="629FE5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vMerge/>
            <w:tcBorders>
              <w:top w:val="single" w:sz="8" w:space="0" w:color="auto"/>
              <w:left w:val="nil"/>
              <w:bottom w:val="single" w:sz="4" w:space="0" w:color="D0CECE" w:themeColor="background2" w:themeShade="E6"/>
              <w:right w:val="nil"/>
            </w:tcBorders>
            <w:vAlign w:val="center"/>
            <w:hideMark/>
          </w:tcPr>
          <w:p w14:paraId="2B3836C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137" w:type="dxa"/>
            <w:tcBorders>
              <w:top w:val="nil"/>
              <w:left w:val="nil"/>
              <w:bottom w:val="single" w:sz="4" w:space="0" w:color="D0CECE" w:themeColor="background2" w:themeShade="E6"/>
              <w:right w:val="nil"/>
            </w:tcBorders>
            <w:shd w:val="clear" w:color="000000" w:fill="FFFFFF"/>
            <w:hideMark/>
          </w:tcPr>
          <w:p w14:paraId="2699AD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60" w:type="dxa"/>
            <w:tcBorders>
              <w:top w:val="nil"/>
              <w:left w:val="nil"/>
              <w:bottom w:val="single" w:sz="4" w:space="0" w:color="D0CECE" w:themeColor="background2" w:themeShade="E6"/>
              <w:right w:val="nil"/>
            </w:tcBorders>
            <w:shd w:val="clear" w:color="000000" w:fill="FFFFFF"/>
            <w:hideMark/>
          </w:tcPr>
          <w:p w14:paraId="709A7AB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60,5</w:t>
            </w:r>
          </w:p>
        </w:tc>
        <w:tc>
          <w:tcPr>
            <w:tcW w:w="872" w:type="dxa"/>
            <w:tcBorders>
              <w:top w:val="nil"/>
              <w:left w:val="nil"/>
              <w:bottom w:val="single" w:sz="4" w:space="0" w:color="D0CECE" w:themeColor="background2" w:themeShade="E6"/>
              <w:right w:val="nil"/>
            </w:tcBorders>
            <w:shd w:val="clear" w:color="000000" w:fill="FFFFFF"/>
            <w:hideMark/>
          </w:tcPr>
          <w:p w14:paraId="71621E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(881/1457)</w:t>
            </w:r>
          </w:p>
        </w:tc>
        <w:tc>
          <w:tcPr>
            <w:tcW w:w="996" w:type="dxa"/>
            <w:tcBorders>
              <w:top w:val="nil"/>
              <w:left w:val="nil"/>
              <w:bottom w:val="single" w:sz="4" w:space="0" w:color="D0CECE" w:themeColor="background2" w:themeShade="E6"/>
              <w:right w:val="nil"/>
            </w:tcBorders>
            <w:shd w:val="clear" w:color="000000" w:fill="FFFFFF"/>
            <w:hideMark/>
          </w:tcPr>
          <w:p w14:paraId="5C3585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80" w:type="dxa"/>
            <w:tcBorders>
              <w:top w:val="nil"/>
              <w:left w:val="nil"/>
              <w:bottom w:val="single" w:sz="4" w:space="0" w:color="D0CECE" w:themeColor="background2" w:themeShade="E6"/>
              <w:right w:val="nil"/>
            </w:tcBorders>
            <w:shd w:val="clear" w:color="000000" w:fill="FFFFFF"/>
            <w:hideMark/>
          </w:tcPr>
          <w:p w14:paraId="0C5DB3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43,0</w:t>
            </w:r>
          </w:p>
        </w:tc>
        <w:tc>
          <w:tcPr>
            <w:tcW w:w="1226" w:type="dxa"/>
            <w:gridSpan w:val="2"/>
            <w:tcBorders>
              <w:top w:val="nil"/>
              <w:left w:val="nil"/>
              <w:bottom w:val="single" w:sz="4" w:space="0" w:color="D0CECE" w:themeColor="background2" w:themeShade="E6"/>
              <w:right w:val="nil"/>
            </w:tcBorders>
            <w:shd w:val="clear" w:color="000000" w:fill="FFFFFF"/>
            <w:hideMark/>
          </w:tcPr>
          <w:p w14:paraId="01B16B2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627</w:t>
            </w:r>
            <w:r w:rsidRPr="00367BEC">
              <w:rPr>
                <w:rFonts w:ascii="Times New Roman" w:hAnsi="Times New Roman"/>
                <w:color w:val="000000"/>
                <w:sz w:val="16"/>
              </w:rPr>
              <w:t>/1457)</w:t>
            </w:r>
          </w:p>
        </w:tc>
        <w:tc>
          <w:tcPr>
            <w:tcW w:w="347" w:type="dxa"/>
            <w:tcBorders>
              <w:top w:val="nil"/>
              <w:left w:val="nil"/>
              <w:bottom w:val="single" w:sz="4" w:space="0" w:color="D0CECE" w:themeColor="background2" w:themeShade="E6"/>
              <w:right w:val="nil"/>
            </w:tcBorders>
            <w:shd w:val="clear" w:color="000000" w:fill="FFFFFF"/>
            <w:hideMark/>
          </w:tcPr>
          <w:p w14:paraId="0E694C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31,6</w:t>
            </w:r>
          </w:p>
        </w:tc>
        <w:tc>
          <w:tcPr>
            <w:tcW w:w="1197" w:type="dxa"/>
            <w:gridSpan w:val="2"/>
            <w:tcBorders>
              <w:top w:val="nil"/>
              <w:left w:val="nil"/>
              <w:bottom w:val="single" w:sz="4" w:space="0" w:color="D0CECE" w:themeColor="background2" w:themeShade="E6"/>
              <w:right w:val="nil"/>
            </w:tcBorders>
            <w:shd w:val="clear" w:color="000000" w:fill="FFFFFF"/>
            <w:hideMark/>
          </w:tcPr>
          <w:p w14:paraId="789C48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460</w:t>
            </w:r>
            <w:r w:rsidRPr="00367BEC">
              <w:rPr>
                <w:rFonts w:ascii="Times New Roman" w:hAnsi="Times New Roman"/>
                <w:color w:val="000000"/>
                <w:sz w:val="16"/>
              </w:rPr>
              <w:t>/1457)</w:t>
            </w:r>
          </w:p>
        </w:tc>
        <w:tc>
          <w:tcPr>
            <w:tcW w:w="1205" w:type="dxa"/>
            <w:tcBorders>
              <w:top w:val="nil"/>
              <w:left w:val="nil"/>
              <w:bottom w:val="single" w:sz="4" w:space="0" w:color="D0CECE" w:themeColor="background2" w:themeShade="E6"/>
              <w:right w:val="nil"/>
            </w:tcBorders>
            <w:shd w:val="clear" w:color="000000" w:fill="FFFFFF"/>
            <w:hideMark/>
          </w:tcPr>
          <w:p w14:paraId="1E903B5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−11,4</w:t>
            </w:r>
          </w:p>
        </w:tc>
        <w:tc>
          <w:tcPr>
            <w:tcW w:w="1467" w:type="dxa"/>
            <w:tcBorders>
              <w:top w:val="nil"/>
              <w:left w:val="nil"/>
              <w:bottom w:val="single" w:sz="4" w:space="0" w:color="auto"/>
              <w:right w:val="nil"/>
            </w:tcBorders>
            <w:shd w:val="clear" w:color="000000" w:fill="FFFFFF"/>
            <w:hideMark/>
          </w:tcPr>
          <w:p w14:paraId="1E40B39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−26,5</w:t>
            </w:r>
          </w:p>
        </w:tc>
      </w:tr>
      <w:tr w:rsidR="002E4D99" w:rsidRPr="00367BEC" w14:paraId="7867C039" w14:textId="77777777" w:rsidTr="00CF1C1E">
        <w:trPr>
          <w:trHeight w:val="20"/>
        </w:trPr>
        <w:tc>
          <w:tcPr>
            <w:tcW w:w="1284" w:type="dxa"/>
            <w:tcBorders>
              <w:top w:val="nil"/>
              <w:left w:val="nil"/>
              <w:bottom w:val="nil"/>
              <w:right w:val="nil"/>
            </w:tcBorders>
            <w:shd w:val="clear" w:color="000000" w:fill="FFFFFF"/>
            <w:noWrap/>
            <w:hideMark/>
          </w:tcPr>
          <w:p w14:paraId="56ED8A2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vMerge w:val="restart"/>
            <w:tcBorders>
              <w:top w:val="single" w:sz="4" w:space="0" w:color="D0CECE" w:themeColor="background2" w:themeShade="E6"/>
              <w:left w:val="nil"/>
              <w:bottom w:val="single" w:sz="8" w:space="0" w:color="000000"/>
              <w:right w:val="nil"/>
            </w:tcBorders>
            <w:shd w:val="clear" w:color="000000" w:fill="FFFFFF"/>
            <w:noWrap/>
            <w:hideMark/>
          </w:tcPr>
          <w:p w14:paraId="71DAB9F6" w14:textId="5807B2A1"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(12</w:t>
            </w:r>
            <w:r w:rsidR="000D16A0">
              <w:rPr>
                <w:rFonts w:ascii="Times New Roman" w:hAnsi="Times New Roman"/>
                <w:color w:val="000000"/>
                <w:sz w:val="16"/>
              </w:rPr>
              <w:t xml:space="preserve"> </w:t>
            </w:r>
            <w:r w:rsidRPr="00367BEC">
              <w:rPr>
                <w:rFonts w:ascii="Times New Roman" w:hAnsi="Times New Roman"/>
                <w:color w:val="000000"/>
                <w:sz w:val="16"/>
              </w:rPr>
              <w:t>m)</w:t>
            </w:r>
          </w:p>
        </w:tc>
        <w:tc>
          <w:tcPr>
            <w:tcW w:w="1137" w:type="dxa"/>
            <w:tcBorders>
              <w:top w:val="single" w:sz="4" w:space="0" w:color="D0CECE" w:themeColor="background2" w:themeShade="E6"/>
              <w:left w:val="nil"/>
              <w:bottom w:val="nil"/>
              <w:right w:val="nil"/>
            </w:tcBorders>
            <w:shd w:val="clear" w:color="000000" w:fill="FFFFFF"/>
            <w:hideMark/>
          </w:tcPr>
          <w:p w14:paraId="6F1CF5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1232" w:type="dxa"/>
            <w:gridSpan w:val="2"/>
            <w:vMerge w:val="restart"/>
            <w:tcBorders>
              <w:top w:val="single" w:sz="4" w:space="0" w:color="D0CECE" w:themeColor="background2" w:themeShade="E6"/>
              <w:left w:val="nil"/>
              <w:bottom w:val="single" w:sz="8" w:space="0" w:color="auto"/>
              <w:right w:val="nil"/>
            </w:tcBorders>
            <w:shd w:val="clear" w:color="000000" w:fill="FFFFFF"/>
            <w:vAlign w:val="center"/>
            <w:hideMark/>
          </w:tcPr>
          <w:p w14:paraId="4502EE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TAP PR (3 m)</w:t>
            </w:r>
          </w:p>
        </w:tc>
        <w:tc>
          <w:tcPr>
            <w:tcW w:w="996" w:type="dxa"/>
            <w:tcBorders>
              <w:top w:val="single" w:sz="4" w:space="0" w:color="D0CECE" w:themeColor="background2" w:themeShade="E6"/>
              <w:left w:val="nil"/>
              <w:bottom w:val="nil"/>
              <w:right w:val="nil"/>
            </w:tcBorders>
            <w:shd w:val="clear" w:color="000000" w:fill="FFFFFF"/>
            <w:hideMark/>
          </w:tcPr>
          <w:p w14:paraId="1C964D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80" w:type="dxa"/>
            <w:tcBorders>
              <w:top w:val="single" w:sz="4" w:space="0" w:color="D0CECE" w:themeColor="background2" w:themeShade="E6"/>
              <w:left w:val="nil"/>
              <w:bottom w:val="nil"/>
              <w:right w:val="nil"/>
            </w:tcBorders>
            <w:shd w:val="clear" w:color="000000" w:fill="FFFFFF"/>
            <w:hideMark/>
          </w:tcPr>
          <w:p w14:paraId="4D3663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w:t>
            </w:r>
          </w:p>
        </w:tc>
        <w:tc>
          <w:tcPr>
            <w:tcW w:w="1226" w:type="dxa"/>
            <w:gridSpan w:val="2"/>
            <w:tcBorders>
              <w:top w:val="single" w:sz="4" w:space="0" w:color="D0CECE" w:themeColor="background2" w:themeShade="E6"/>
              <w:left w:val="nil"/>
              <w:bottom w:val="nil"/>
              <w:right w:val="nil"/>
            </w:tcBorders>
            <w:shd w:val="clear" w:color="000000" w:fill="FFFFFF"/>
            <w:hideMark/>
          </w:tcPr>
          <w:p w14:paraId="3A9584D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24</w:t>
            </w:r>
            <w:r w:rsidRPr="00367BEC">
              <w:rPr>
                <w:rFonts w:ascii="Times New Roman" w:hAnsi="Times New Roman"/>
                <w:color w:val="000000"/>
                <w:sz w:val="16"/>
              </w:rPr>
              <w:t>/588)</w:t>
            </w:r>
          </w:p>
        </w:tc>
        <w:tc>
          <w:tcPr>
            <w:tcW w:w="347" w:type="dxa"/>
            <w:tcBorders>
              <w:top w:val="single" w:sz="4" w:space="0" w:color="D0CECE" w:themeColor="background2" w:themeShade="E6"/>
              <w:left w:val="nil"/>
              <w:bottom w:val="nil"/>
              <w:right w:val="nil"/>
            </w:tcBorders>
            <w:shd w:val="clear" w:color="000000" w:fill="FFFFFF"/>
            <w:hideMark/>
          </w:tcPr>
          <w:p w14:paraId="15151E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3,2</w:t>
            </w:r>
          </w:p>
        </w:tc>
        <w:tc>
          <w:tcPr>
            <w:tcW w:w="1197" w:type="dxa"/>
            <w:gridSpan w:val="2"/>
            <w:tcBorders>
              <w:top w:val="single" w:sz="4" w:space="0" w:color="D0CECE" w:themeColor="background2" w:themeShade="E6"/>
              <w:left w:val="nil"/>
              <w:bottom w:val="nil"/>
              <w:right w:val="nil"/>
            </w:tcBorders>
            <w:shd w:val="clear" w:color="000000" w:fill="FFFFFF"/>
            <w:hideMark/>
          </w:tcPr>
          <w:p w14:paraId="662E56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19</w:t>
            </w:r>
            <w:r w:rsidRPr="00367BEC">
              <w:rPr>
                <w:rFonts w:ascii="Times New Roman" w:hAnsi="Times New Roman"/>
                <w:color w:val="000000"/>
                <w:sz w:val="16"/>
              </w:rPr>
              <w:t>/588)</w:t>
            </w:r>
          </w:p>
        </w:tc>
        <w:tc>
          <w:tcPr>
            <w:tcW w:w="1205" w:type="dxa"/>
            <w:tcBorders>
              <w:top w:val="single" w:sz="4" w:space="0" w:color="D0CECE" w:themeColor="background2" w:themeShade="E6"/>
              <w:left w:val="nil"/>
              <w:bottom w:val="nil"/>
              <w:right w:val="nil"/>
            </w:tcBorders>
            <w:shd w:val="clear" w:color="000000" w:fill="FFFFFF"/>
            <w:hideMark/>
          </w:tcPr>
          <w:p w14:paraId="1AC6AE4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−0,8</w:t>
            </w:r>
          </w:p>
        </w:tc>
        <w:tc>
          <w:tcPr>
            <w:tcW w:w="1467" w:type="dxa"/>
            <w:tcBorders>
              <w:top w:val="single" w:sz="4" w:space="0" w:color="D0CECE" w:themeColor="background2" w:themeShade="E6"/>
              <w:left w:val="nil"/>
              <w:bottom w:val="nil"/>
              <w:right w:val="nil"/>
            </w:tcBorders>
            <w:shd w:val="clear" w:color="000000" w:fill="FFFFFF"/>
            <w:hideMark/>
          </w:tcPr>
          <w:p w14:paraId="5318C5C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−20,0</w:t>
            </w:r>
          </w:p>
        </w:tc>
      </w:tr>
      <w:tr w:rsidR="002E4D99" w:rsidRPr="00367BEC" w14:paraId="174375C4" w14:textId="77777777" w:rsidTr="00CF1C1E">
        <w:trPr>
          <w:trHeight w:val="20"/>
        </w:trPr>
        <w:tc>
          <w:tcPr>
            <w:tcW w:w="1284" w:type="dxa"/>
            <w:tcBorders>
              <w:top w:val="nil"/>
              <w:left w:val="nil"/>
              <w:bottom w:val="nil"/>
              <w:right w:val="nil"/>
            </w:tcBorders>
            <w:shd w:val="clear" w:color="000000" w:fill="FFFFFF"/>
            <w:noWrap/>
            <w:hideMark/>
          </w:tcPr>
          <w:p w14:paraId="3F464A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vMerge/>
            <w:tcBorders>
              <w:top w:val="nil"/>
              <w:left w:val="nil"/>
              <w:bottom w:val="single" w:sz="8" w:space="0" w:color="000000"/>
              <w:right w:val="nil"/>
            </w:tcBorders>
            <w:vAlign w:val="center"/>
            <w:hideMark/>
          </w:tcPr>
          <w:p w14:paraId="06A91EEA"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137" w:type="dxa"/>
            <w:tcBorders>
              <w:top w:val="nil"/>
              <w:left w:val="nil"/>
              <w:bottom w:val="nil"/>
              <w:right w:val="nil"/>
            </w:tcBorders>
            <w:shd w:val="clear" w:color="000000" w:fill="FFFFFF"/>
            <w:hideMark/>
          </w:tcPr>
          <w:p w14:paraId="21139B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1232" w:type="dxa"/>
            <w:gridSpan w:val="2"/>
            <w:vMerge/>
            <w:tcBorders>
              <w:top w:val="single" w:sz="18" w:space="0" w:color="auto"/>
              <w:left w:val="nil"/>
              <w:bottom w:val="single" w:sz="8" w:space="0" w:color="auto"/>
              <w:right w:val="nil"/>
            </w:tcBorders>
            <w:vAlign w:val="center"/>
            <w:hideMark/>
          </w:tcPr>
          <w:p w14:paraId="0832E33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996" w:type="dxa"/>
            <w:tcBorders>
              <w:top w:val="nil"/>
              <w:left w:val="nil"/>
              <w:bottom w:val="nil"/>
              <w:right w:val="nil"/>
            </w:tcBorders>
            <w:shd w:val="clear" w:color="000000" w:fill="FFFFFF"/>
            <w:hideMark/>
          </w:tcPr>
          <w:p w14:paraId="234428A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80" w:type="dxa"/>
            <w:tcBorders>
              <w:top w:val="nil"/>
              <w:left w:val="nil"/>
              <w:bottom w:val="nil"/>
              <w:right w:val="nil"/>
            </w:tcBorders>
            <w:shd w:val="clear" w:color="000000" w:fill="FFFFFF"/>
            <w:hideMark/>
          </w:tcPr>
          <w:p w14:paraId="08D836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w:t>
            </w:r>
          </w:p>
        </w:tc>
        <w:tc>
          <w:tcPr>
            <w:tcW w:w="1226" w:type="dxa"/>
            <w:gridSpan w:val="2"/>
            <w:tcBorders>
              <w:top w:val="nil"/>
              <w:left w:val="nil"/>
              <w:bottom w:val="nil"/>
              <w:right w:val="nil"/>
            </w:tcBorders>
            <w:shd w:val="clear" w:color="000000" w:fill="FFFFFF"/>
            <w:hideMark/>
          </w:tcPr>
          <w:p w14:paraId="69ADEB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24</w:t>
            </w:r>
            <w:r w:rsidRPr="00367BEC">
              <w:rPr>
                <w:rFonts w:ascii="Times New Roman" w:hAnsi="Times New Roman"/>
                <w:color w:val="000000"/>
                <w:sz w:val="16"/>
              </w:rPr>
              <w:t>/588)</w:t>
            </w:r>
          </w:p>
        </w:tc>
        <w:tc>
          <w:tcPr>
            <w:tcW w:w="347" w:type="dxa"/>
            <w:tcBorders>
              <w:top w:val="nil"/>
              <w:left w:val="nil"/>
              <w:bottom w:val="nil"/>
              <w:right w:val="nil"/>
            </w:tcBorders>
            <w:shd w:val="clear" w:color="000000" w:fill="FFFFFF"/>
            <w:hideMark/>
          </w:tcPr>
          <w:p w14:paraId="502845F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nil"/>
              <w:left w:val="nil"/>
              <w:bottom w:val="nil"/>
              <w:right w:val="nil"/>
            </w:tcBorders>
            <w:shd w:val="clear" w:color="000000" w:fill="FFFFFF"/>
            <w:hideMark/>
          </w:tcPr>
          <w:p w14:paraId="34118E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nil"/>
              <w:left w:val="nil"/>
              <w:bottom w:val="nil"/>
              <w:right w:val="nil"/>
            </w:tcBorders>
            <w:shd w:val="clear" w:color="000000" w:fill="FFFFFF"/>
            <w:hideMark/>
          </w:tcPr>
          <w:p w14:paraId="209BF4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hideMark/>
          </w:tcPr>
          <w:p w14:paraId="19F997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A606A7D" w14:textId="77777777" w:rsidTr="00CF1C1E">
        <w:trPr>
          <w:trHeight w:val="20"/>
        </w:trPr>
        <w:tc>
          <w:tcPr>
            <w:tcW w:w="1284" w:type="dxa"/>
            <w:tcBorders>
              <w:top w:val="nil"/>
              <w:left w:val="nil"/>
              <w:bottom w:val="nil"/>
              <w:right w:val="nil"/>
            </w:tcBorders>
            <w:shd w:val="clear" w:color="000000" w:fill="FFFFFF"/>
            <w:noWrap/>
            <w:hideMark/>
          </w:tcPr>
          <w:p w14:paraId="1209A5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vMerge/>
            <w:tcBorders>
              <w:top w:val="nil"/>
              <w:left w:val="nil"/>
              <w:bottom w:val="single" w:sz="8" w:space="0" w:color="000000"/>
              <w:right w:val="nil"/>
            </w:tcBorders>
            <w:vAlign w:val="center"/>
            <w:hideMark/>
          </w:tcPr>
          <w:p w14:paraId="171C8D3C"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1137" w:type="dxa"/>
            <w:tcBorders>
              <w:top w:val="nil"/>
              <w:left w:val="nil"/>
              <w:bottom w:val="nil"/>
              <w:right w:val="nil"/>
            </w:tcBorders>
            <w:shd w:val="clear" w:color="000000" w:fill="FFFFFF"/>
            <w:hideMark/>
          </w:tcPr>
          <w:p w14:paraId="3D62FE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1232" w:type="dxa"/>
            <w:gridSpan w:val="2"/>
            <w:vMerge/>
            <w:tcBorders>
              <w:top w:val="single" w:sz="18" w:space="0" w:color="auto"/>
              <w:left w:val="nil"/>
              <w:bottom w:val="single" w:sz="8" w:space="0" w:color="auto"/>
              <w:right w:val="nil"/>
            </w:tcBorders>
            <w:vAlign w:val="center"/>
            <w:hideMark/>
          </w:tcPr>
          <w:p w14:paraId="19CD4E0F"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996" w:type="dxa"/>
            <w:tcBorders>
              <w:top w:val="nil"/>
              <w:left w:val="nil"/>
              <w:bottom w:val="nil"/>
              <w:right w:val="nil"/>
            </w:tcBorders>
            <w:shd w:val="clear" w:color="000000" w:fill="FFFFFF"/>
            <w:hideMark/>
          </w:tcPr>
          <w:p w14:paraId="743844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80" w:type="dxa"/>
            <w:tcBorders>
              <w:top w:val="nil"/>
              <w:left w:val="nil"/>
              <w:bottom w:val="nil"/>
              <w:right w:val="nil"/>
            </w:tcBorders>
            <w:shd w:val="clear" w:color="000000" w:fill="FFFFFF"/>
            <w:hideMark/>
          </w:tcPr>
          <w:p w14:paraId="2D9D65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45,0</w:t>
            </w:r>
          </w:p>
        </w:tc>
        <w:tc>
          <w:tcPr>
            <w:tcW w:w="1226" w:type="dxa"/>
            <w:gridSpan w:val="2"/>
            <w:tcBorders>
              <w:top w:val="nil"/>
              <w:left w:val="nil"/>
              <w:bottom w:val="nil"/>
              <w:right w:val="nil"/>
            </w:tcBorders>
            <w:shd w:val="clear" w:color="000000" w:fill="FFFFFF"/>
            <w:hideMark/>
          </w:tcPr>
          <w:p w14:paraId="0A5BB8E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265</w:t>
            </w:r>
            <w:r w:rsidRPr="00367BEC">
              <w:rPr>
                <w:rFonts w:ascii="Times New Roman" w:hAnsi="Times New Roman"/>
                <w:color w:val="000000"/>
                <w:sz w:val="16"/>
              </w:rPr>
              <w:t>/588)</w:t>
            </w:r>
          </w:p>
        </w:tc>
        <w:tc>
          <w:tcPr>
            <w:tcW w:w="347" w:type="dxa"/>
            <w:tcBorders>
              <w:top w:val="nil"/>
              <w:left w:val="nil"/>
              <w:bottom w:val="nil"/>
              <w:right w:val="nil"/>
            </w:tcBorders>
            <w:shd w:val="clear" w:color="000000" w:fill="FFFFFF"/>
            <w:hideMark/>
          </w:tcPr>
          <w:p w14:paraId="7BD1F35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nil"/>
              <w:left w:val="nil"/>
              <w:bottom w:val="nil"/>
              <w:right w:val="nil"/>
            </w:tcBorders>
            <w:shd w:val="clear" w:color="000000" w:fill="FFFFFF"/>
            <w:hideMark/>
          </w:tcPr>
          <w:p w14:paraId="40709C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nil"/>
              <w:left w:val="nil"/>
              <w:bottom w:val="nil"/>
              <w:right w:val="nil"/>
            </w:tcBorders>
            <w:shd w:val="clear" w:color="000000" w:fill="FFFFFF"/>
            <w:hideMark/>
          </w:tcPr>
          <w:p w14:paraId="3B3D5D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hideMark/>
          </w:tcPr>
          <w:p w14:paraId="3C3C24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1879FA0" w14:textId="77777777" w:rsidTr="00CF1C1E">
        <w:trPr>
          <w:trHeight w:val="20"/>
        </w:trPr>
        <w:tc>
          <w:tcPr>
            <w:tcW w:w="1284" w:type="dxa"/>
            <w:tcBorders>
              <w:top w:val="single" w:sz="8" w:space="0" w:color="auto"/>
              <w:left w:val="nil"/>
              <w:bottom w:val="nil"/>
              <w:right w:val="nil"/>
            </w:tcBorders>
            <w:shd w:val="clear" w:color="000000" w:fill="FFFFFF"/>
            <w:noWrap/>
            <w:hideMark/>
          </w:tcPr>
          <w:p w14:paraId="0FE21C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Schwittay</w:t>
            </w:r>
            <w:proofErr w:type="spellEnd"/>
            <w:r w:rsidRPr="00367BEC">
              <w:rPr>
                <w:rFonts w:ascii="Times New Roman" w:hAnsi="Times New Roman"/>
                <w:color w:val="000000"/>
                <w:sz w:val="16"/>
              </w:rPr>
              <w:t xml:space="preserve"> 2013</w:t>
            </w:r>
          </w:p>
        </w:tc>
        <w:tc>
          <w:tcPr>
            <w:tcW w:w="1129" w:type="dxa"/>
            <w:tcBorders>
              <w:top w:val="nil"/>
              <w:left w:val="nil"/>
              <w:bottom w:val="nil"/>
              <w:right w:val="nil"/>
            </w:tcBorders>
            <w:shd w:val="clear" w:color="000000" w:fill="FFFFFF"/>
            <w:noWrap/>
            <w:hideMark/>
          </w:tcPr>
          <w:p w14:paraId="706EDA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single" w:sz="8" w:space="0" w:color="auto"/>
              <w:left w:val="nil"/>
              <w:bottom w:val="nil"/>
              <w:right w:val="nil"/>
            </w:tcBorders>
            <w:shd w:val="clear" w:color="000000" w:fill="FFFFFF"/>
            <w:hideMark/>
          </w:tcPr>
          <w:p w14:paraId="67CA6C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60" w:type="dxa"/>
            <w:tcBorders>
              <w:top w:val="single" w:sz="8" w:space="0" w:color="auto"/>
              <w:left w:val="nil"/>
              <w:bottom w:val="nil"/>
              <w:right w:val="nil"/>
            </w:tcBorders>
            <w:shd w:val="clear" w:color="000000" w:fill="FFFFFF"/>
            <w:hideMark/>
          </w:tcPr>
          <w:p w14:paraId="5BABEE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42,5</w:t>
            </w:r>
          </w:p>
        </w:tc>
        <w:tc>
          <w:tcPr>
            <w:tcW w:w="872" w:type="dxa"/>
            <w:tcBorders>
              <w:top w:val="single" w:sz="8" w:space="0" w:color="auto"/>
              <w:left w:val="nil"/>
              <w:bottom w:val="nil"/>
              <w:right w:val="nil"/>
            </w:tcBorders>
            <w:shd w:val="clear" w:color="000000" w:fill="FFFFFF"/>
            <w:hideMark/>
          </w:tcPr>
          <w:p w14:paraId="6DDFC5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(1331/3134)</w:t>
            </w:r>
          </w:p>
        </w:tc>
        <w:tc>
          <w:tcPr>
            <w:tcW w:w="996" w:type="dxa"/>
            <w:tcBorders>
              <w:top w:val="single" w:sz="8" w:space="0" w:color="auto"/>
              <w:left w:val="nil"/>
              <w:bottom w:val="nil"/>
              <w:right w:val="nil"/>
            </w:tcBorders>
            <w:shd w:val="clear" w:color="000000" w:fill="FFFFFF"/>
            <w:hideMark/>
          </w:tcPr>
          <w:p w14:paraId="3C9B09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80" w:type="dxa"/>
            <w:tcBorders>
              <w:top w:val="single" w:sz="8" w:space="0" w:color="auto"/>
              <w:left w:val="nil"/>
              <w:bottom w:val="nil"/>
              <w:right w:val="nil"/>
            </w:tcBorders>
            <w:shd w:val="clear" w:color="000000" w:fill="FFFFFF"/>
            <w:hideMark/>
          </w:tcPr>
          <w:p w14:paraId="22CC98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4,7</w:t>
            </w:r>
          </w:p>
        </w:tc>
        <w:tc>
          <w:tcPr>
            <w:tcW w:w="1226" w:type="dxa"/>
            <w:gridSpan w:val="2"/>
            <w:tcBorders>
              <w:top w:val="single" w:sz="8" w:space="0" w:color="auto"/>
              <w:left w:val="nil"/>
              <w:bottom w:val="nil"/>
              <w:right w:val="nil"/>
            </w:tcBorders>
            <w:shd w:val="clear" w:color="000000" w:fill="FFFFFF"/>
            <w:hideMark/>
          </w:tcPr>
          <w:p w14:paraId="1E04AB1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(147/3134)</w:t>
            </w:r>
          </w:p>
        </w:tc>
        <w:tc>
          <w:tcPr>
            <w:tcW w:w="347" w:type="dxa"/>
            <w:tcBorders>
              <w:top w:val="single" w:sz="8" w:space="0" w:color="auto"/>
              <w:left w:val="nil"/>
              <w:bottom w:val="nil"/>
              <w:right w:val="nil"/>
            </w:tcBorders>
            <w:shd w:val="clear" w:color="000000" w:fill="FFFFFF"/>
            <w:hideMark/>
          </w:tcPr>
          <w:p w14:paraId="342389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w:t>
            </w:r>
          </w:p>
        </w:tc>
        <w:tc>
          <w:tcPr>
            <w:tcW w:w="1197" w:type="dxa"/>
            <w:gridSpan w:val="2"/>
            <w:tcBorders>
              <w:top w:val="single" w:sz="8" w:space="0" w:color="auto"/>
              <w:left w:val="nil"/>
              <w:bottom w:val="nil"/>
              <w:right w:val="nil"/>
            </w:tcBorders>
            <w:shd w:val="clear" w:color="000000" w:fill="FFFFFF"/>
            <w:hideMark/>
          </w:tcPr>
          <w:p w14:paraId="5253B4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113</w:t>
            </w:r>
            <w:r w:rsidRPr="00367BEC">
              <w:rPr>
                <w:rFonts w:ascii="Times New Roman" w:hAnsi="Times New Roman"/>
                <w:color w:val="000000"/>
                <w:sz w:val="16"/>
              </w:rPr>
              <w:t>/3134)</w:t>
            </w:r>
          </w:p>
        </w:tc>
        <w:tc>
          <w:tcPr>
            <w:tcW w:w="1205" w:type="dxa"/>
            <w:tcBorders>
              <w:top w:val="single" w:sz="8" w:space="0" w:color="auto"/>
              <w:left w:val="nil"/>
              <w:bottom w:val="nil"/>
              <w:right w:val="nil"/>
            </w:tcBorders>
            <w:shd w:val="clear" w:color="000000" w:fill="FFFFFF"/>
            <w:hideMark/>
          </w:tcPr>
          <w:p w14:paraId="704F1AE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−1,1</w:t>
            </w:r>
          </w:p>
        </w:tc>
        <w:tc>
          <w:tcPr>
            <w:tcW w:w="1467" w:type="dxa"/>
            <w:tcBorders>
              <w:top w:val="single" w:sz="8" w:space="0" w:color="auto"/>
              <w:left w:val="nil"/>
              <w:bottom w:val="nil"/>
              <w:right w:val="nil"/>
            </w:tcBorders>
            <w:shd w:val="clear" w:color="000000" w:fill="FFFFFF"/>
            <w:hideMark/>
          </w:tcPr>
          <w:p w14:paraId="25C7800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−23,4</w:t>
            </w:r>
          </w:p>
        </w:tc>
      </w:tr>
      <w:tr w:rsidR="002E4D99" w:rsidRPr="00367BEC" w14:paraId="56FCF430" w14:textId="77777777" w:rsidTr="00CF1C1E">
        <w:trPr>
          <w:trHeight w:val="20"/>
        </w:trPr>
        <w:tc>
          <w:tcPr>
            <w:tcW w:w="1284" w:type="dxa"/>
            <w:tcBorders>
              <w:top w:val="nil"/>
              <w:left w:val="nil"/>
              <w:bottom w:val="nil"/>
              <w:right w:val="nil"/>
            </w:tcBorders>
            <w:shd w:val="clear" w:color="000000" w:fill="FFFFFF"/>
            <w:noWrap/>
            <w:hideMark/>
          </w:tcPr>
          <w:p w14:paraId="7B03AC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nil"/>
              <w:right w:val="nil"/>
            </w:tcBorders>
            <w:shd w:val="clear" w:color="000000" w:fill="FFFFFF"/>
            <w:noWrap/>
            <w:hideMark/>
          </w:tcPr>
          <w:p w14:paraId="56FC4E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nil"/>
              <w:right w:val="nil"/>
            </w:tcBorders>
            <w:shd w:val="clear" w:color="000000" w:fill="FFFFFF"/>
            <w:hideMark/>
          </w:tcPr>
          <w:p w14:paraId="2859E6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60" w:type="dxa"/>
            <w:tcBorders>
              <w:top w:val="nil"/>
              <w:left w:val="nil"/>
              <w:bottom w:val="nil"/>
              <w:right w:val="nil"/>
            </w:tcBorders>
            <w:shd w:val="clear" w:color="000000" w:fill="FFFFFF"/>
            <w:hideMark/>
          </w:tcPr>
          <w:p w14:paraId="1BE2C4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55,9</w:t>
            </w:r>
          </w:p>
        </w:tc>
        <w:tc>
          <w:tcPr>
            <w:tcW w:w="872" w:type="dxa"/>
            <w:tcBorders>
              <w:top w:val="nil"/>
              <w:left w:val="nil"/>
              <w:bottom w:val="nil"/>
              <w:right w:val="nil"/>
            </w:tcBorders>
            <w:shd w:val="clear" w:color="000000" w:fill="FFFFFF"/>
            <w:hideMark/>
          </w:tcPr>
          <w:p w14:paraId="65906C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(1751/3134)</w:t>
            </w:r>
          </w:p>
        </w:tc>
        <w:tc>
          <w:tcPr>
            <w:tcW w:w="996" w:type="dxa"/>
            <w:tcBorders>
              <w:top w:val="nil"/>
              <w:left w:val="nil"/>
              <w:bottom w:val="nil"/>
              <w:right w:val="nil"/>
            </w:tcBorders>
            <w:shd w:val="clear" w:color="000000" w:fill="FFFFFF"/>
            <w:hideMark/>
          </w:tcPr>
          <w:p w14:paraId="70A11C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80" w:type="dxa"/>
            <w:tcBorders>
              <w:top w:val="nil"/>
              <w:left w:val="nil"/>
              <w:bottom w:val="nil"/>
              <w:right w:val="nil"/>
            </w:tcBorders>
            <w:shd w:val="clear" w:color="000000" w:fill="FFFFFF"/>
            <w:hideMark/>
          </w:tcPr>
          <w:p w14:paraId="6FD93FE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12,3</w:t>
            </w:r>
          </w:p>
        </w:tc>
        <w:tc>
          <w:tcPr>
            <w:tcW w:w="1226" w:type="dxa"/>
            <w:gridSpan w:val="2"/>
            <w:tcBorders>
              <w:top w:val="nil"/>
              <w:left w:val="nil"/>
              <w:bottom w:val="nil"/>
              <w:right w:val="nil"/>
            </w:tcBorders>
            <w:shd w:val="clear" w:color="000000" w:fill="FFFFFF"/>
            <w:hideMark/>
          </w:tcPr>
          <w:p w14:paraId="7C7468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(385/3134)</w:t>
            </w:r>
          </w:p>
        </w:tc>
        <w:tc>
          <w:tcPr>
            <w:tcW w:w="347" w:type="dxa"/>
            <w:tcBorders>
              <w:top w:val="nil"/>
              <w:left w:val="nil"/>
              <w:bottom w:val="nil"/>
              <w:right w:val="nil"/>
            </w:tcBorders>
            <w:shd w:val="clear" w:color="000000" w:fill="FFFFFF"/>
            <w:hideMark/>
          </w:tcPr>
          <w:p w14:paraId="18E8B7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6,4</w:t>
            </w:r>
          </w:p>
        </w:tc>
        <w:tc>
          <w:tcPr>
            <w:tcW w:w="1197" w:type="dxa"/>
            <w:gridSpan w:val="2"/>
            <w:tcBorders>
              <w:top w:val="nil"/>
              <w:left w:val="nil"/>
              <w:bottom w:val="nil"/>
              <w:right w:val="nil"/>
            </w:tcBorders>
            <w:shd w:val="clear" w:color="000000" w:fill="FFFFFF"/>
            <w:hideMark/>
          </w:tcPr>
          <w:p w14:paraId="32DBB2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201</w:t>
            </w:r>
            <w:r w:rsidRPr="00367BEC">
              <w:rPr>
                <w:rFonts w:ascii="Times New Roman" w:hAnsi="Times New Roman"/>
                <w:color w:val="000000"/>
                <w:sz w:val="16"/>
              </w:rPr>
              <w:t>/3134)</w:t>
            </w:r>
          </w:p>
        </w:tc>
        <w:tc>
          <w:tcPr>
            <w:tcW w:w="1205" w:type="dxa"/>
            <w:tcBorders>
              <w:top w:val="nil"/>
              <w:left w:val="nil"/>
              <w:bottom w:val="nil"/>
              <w:right w:val="nil"/>
            </w:tcBorders>
            <w:shd w:val="clear" w:color="000000" w:fill="FFFFFF"/>
            <w:hideMark/>
          </w:tcPr>
          <w:p w14:paraId="314B8C9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−5,9</w:t>
            </w:r>
          </w:p>
        </w:tc>
        <w:tc>
          <w:tcPr>
            <w:tcW w:w="1467" w:type="dxa"/>
            <w:tcBorders>
              <w:top w:val="nil"/>
              <w:left w:val="nil"/>
              <w:bottom w:val="nil"/>
              <w:right w:val="nil"/>
            </w:tcBorders>
            <w:shd w:val="clear" w:color="000000" w:fill="FFFFFF"/>
            <w:hideMark/>
          </w:tcPr>
          <w:p w14:paraId="3A5E840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−48,0</w:t>
            </w:r>
          </w:p>
        </w:tc>
      </w:tr>
      <w:tr w:rsidR="002E4D99" w:rsidRPr="00367BEC" w14:paraId="3A72F866" w14:textId="77777777" w:rsidTr="00CF1C1E">
        <w:trPr>
          <w:trHeight w:val="20"/>
        </w:trPr>
        <w:tc>
          <w:tcPr>
            <w:tcW w:w="1284" w:type="dxa"/>
            <w:tcBorders>
              <w:top w:val="nil"/>
              <w:left w:val="nil"/>
              <w:bottom w:val="nil"/>
              <w:right w:val="nil"/>
            </w:tcBorders>
            <w:shd w:val="clear" w:color="000000" w:fill="FFFFFF"/>
            <w:noWrap/>
            <w:hideMark/>
          </w:tcPr>
          <w:p w14:paraId="4130AC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single" w:sz="4" w:space="0" w:color="D0CECE" w:themeColor="background2" w:themeShade="E6"/>
              <w:right w:val="nil"/>
            </w:tcBorders>
            <w:shd w:val="clear" w:color="000000" w:fill="FFFFFF"/>
            <w:noWrap/>
            <w:hideMark/>
          </w:tcPr>
          <w:p w14:paraId="03650C9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single" w:sz="4" w:space="0" w:color="D0CECE" w:themeColor="background2" w:themeShade="E6"/>
              <w:right w:val="nil"/>
            </w:tcBorders>
            <w:shd w:val="clear" w:color="000000" w:fill="FFFFFF"/>
            <w:hideMark/>
          </w:tcPr>
          <w:p w14:paraId="56A15A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60" w:type="dxa"/>
            <w:tcBorders>
              <w:top w:val="nil"/>
              <w:left w:val="nil"/>
              <w:bottom w:val="single" w:sz="4" w:space="0" w:color="D0CECE" w:themeColor="background2" w:themeShade="E6"/>
              <w:right w:val="nil"/>
            </w:tcBorders>
            <w:shd w:val="clear" w:color="000000" w:fill="FFFFFF"/>
            <w:hideMark/>
          </w:tcPr>
          <w:p w14:paraId="070B19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82,8</w:t>
            </w:r>
          </w:p>
        </w:tc>
        <w:tc>
          <w:tcPr>
            <w:tcW w:w="872" w:type="dxa"/>
            <w:tcBorders>
              <w:top w:val="nil"/>
              <w:left w:val="nil"/>
              <w:bottom w:val="single" w:sz="4" w:space="0" w:color="D0CECE" w:themeColor="background2" w:themeShade="E6"/>
              <w:right w:val="nil"/>
            </w:tcBorders>
            <w:shd w:val="clear" w:color="000000" w:fill="FFFFFF"/>
            <w:hideMark/>
          </w:tcPr>
          <w:p w14:paraId="4FDE0C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2595</w:t>
            </w:r>
            <w:r w:rsidRPr="00367BEC">
              <w:rPr>
                <w:rFonts w:ascii="Times New Roman" w:hAnsi="Times New Roman"/>
                <w:color w:val="000000"/>
                <w:sz w:val="16"/>
              </w:rPr>
              <w:t>/3134)</w:t>
            </w:r>
          </w:p>
        </w:tc>
        <w:tc>
          <w:tcPr>
            <w:tcW w:w="996" w:type="dxa"/>
            <w:tcBorders>
              <w:top w:val="nil"/>
              <w:left w:val="nil"/>
              <w:bottom w:val="single" w:sz="4" w:space="0" w:color="D0CECE" w:themeColor="background2" w:themeShade="E6"/>
              <w:right w:val="nil"/>
            </w:tcBorders>
            <w:shd w:val="clear" w:color="000000" w:fill="FFFFFF"/>
            <w:hideMark/>
          </w:tcPr>
          <w:p w14:paraId="14A000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80" w:type="dxa"/>
            <w:tcBorders>
              <w:top w:val="nil"/>
              <w:left w:val="nil"/>
              <w:bottom w:val="single" w:sz="4" w:space="0" w:color="D0CECE" w:themeColor="background2" w:themeShade="E6"/>
              <w:right w:val="nil"/>
            </w:tcBorders>
            <w:shd w:val="clear" w:color="000000" w:fill="FFFFFF"/>
            <w:hideMark/>
          </w:tcPr>
          <w:p w14:paraId="5948D1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61,8</w:t>
            </w:r>
          </w:p>
        </w:tc>
        <w:tc>
          <w:tcPr>
            <w:tcW w:w="1226" w:type="dxa"/>
            <w:gridSpan w:val="2"/>
            <w:tcBorders>
              <w:top w:val="nil"/>
              <w:left w:val="nil"/>
              <w:bottom w:val="single" w:sz="4" w:space="0" w:color="D0CECE" w:themeColor="background2" w:themeShade="E6"/>
              <w:right w:val="nil"/>
            </w:tcBorders>
            <w:shd w:val="clear" w:color="000000" w:fill="FFFFFF"/>
            <w:hideMark/>
          </w:tcPr>
          <w:p w14:paraId="598FD9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(1937/3134)</w:t>
            </w:r>
          </w:p>
        </w:tc>
        <w:tc>
          <w:tcPr>
            <w:tcW w:w="347" w:type="dxa"/>
            <w:tcBorders>
              <w:top w:val="nil"/>
              <w:left w:val="nil"/>
              <w:bottom w:val="single" w:sz="4" w:space="0" w:color="D0CECE" w:themeColor="background2" w:themeShade="E6"/>
              <w:right w:val="nil"/>
            </w:tcBorders>
            <w:shd w:val="clear" w:color="000000" w:fill="FFFFFF"/>
            <w:hideMark/>
          </w:tcPr>
          <w:p w14:paraId="7E9F2E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44,7</w:t>
            </w:r>
          </w:p>
        </w:tc>
        <w:tc>
          <w:tcPr>
            <w:tcW w:w="1197" w:type="dxa"/>
            <w:gridSpan w:val="2"/>
            <w:tcBorders>
              <w:top w:val="nil"/>
              <w:left w:val="nil"/>
              <w:bottom w:val="single" w:sz="4" w:space="0" w:color="D0CECE" w:themeColor="background2" w:themeShade="E6"/>
              <w:right w:val="nil"/>
            </w:tcBorders>
            <w:shd w:val="clear" w:color="000000" w:fill="FFFFFF"/>
            <w:hideMark/>
          </w:tcPr>
          <w:p w14:paraId="3BC9832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1401</w:t>
            </w:r>
            <w:r w:rsidRPr="00367BEC">
              <w:rPr>
                <w:rFonts w:ascii="Times New Roman" w:hAnsi="Times New Roman"/>
                <w:color w:val="000000"/>
                <w:sz w:val="16"/>
              </w:rPr>
              <w:t>/3134)</w:t>
            </w:r>
          </w:p>
        </w:tc>
        <w:tc>
          <w:tcPr>
            <w:tcW w:w="1205" w:type="dxa"/>
            <w:tcBorders>
              <w:top w:val="nil"/>
              <w:left w:val="nil"/>
              <w:bottom w:val="single" w:sz="4" w:space="0" w:color="D0CECE" w:themeColor="background2" w:themeShade="E6"/>
              <w:right w:val="nil"/>
            </w:tcBorders>
            <w:shd w:val="clear" w:color="000000" w:fill="FFFFFF"/>
            <w:hideMark/>
          </w:tcPr>
          <w:p w14:paraId="3CB873E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−17,1</w:t>
            </w:r>
          </w:p>
        </w:tc>
        <w:tc>
          <w:tcPr>
            <w:tcW w:w="1467" w:type="dxa"/>
            <w:tcBorders>
              <w:top w:val="nil"/>
              <w:left w:val="nil"/>
              <w:bottom w:val="single" w:sz="4" w:space="0" w:color="D0CECE" w:themeColor="background2" w:themeShade="E6"/>
              <w:right w:val="nil"/>
            </w:tcBorders>
            <w:shd w:val="clear" w:color="000000" w:fill="FFFFFF"/>
            <w:hideMark/>
          </w:tcPr>
          <w:p w14:paraId="0B43933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−27,7</w:t>
            </w:r>
          </w:p>
        </w:tc>
      </w:tr>
      <w:tr w:rsidR="002E4D99" w:rsidRPr="00367BEC" w14:paraId="00A42273" w14:textId="77777777" w:rsidTr="00CF1C1E">
        <w:trPr>
          <w:trHeight w:val="20"/>
        </w:trPr>
        <w:tc>
          <w:tcPr>
            <w:tcW w:w="1284" w:type="dxa"/>
            <w:tcBorders>
              <w:top w:val="nil"/>
              <w:left w:val="nil"/>
              <w:bottom w:val="nil"/>
              <w:right w:val="nil"/>
            </w:tcBorders>
            <w:shd w:val="clear" w:color="000000" w:fill="FFFFFF"/>
            <w:noWrap/>
            <w:hideMark/>
          </w:tcPr>
          <w:p w14:paraId="67B037F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single" w:sz="4" w:space="0" w:color="D0CECE" w:themeColor="background2" w:themeShade="E6"/>
              <w:left w:val="nil"/>
              <w:bottom w:val="nil"/>
              <w:right w:val="nil"/>
            </w:tcBorders>
            <w:shd w:val="clear" w:color="000000" w:fill="FFFFFF"/>
            <w:noWrap/>
            <w:hideMark/>
          </w:tcPr>
          <w:p w14:paraId="6E6019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w:t>
            </w:r>
            <w:proofErr w:type="spellStart"/>
            <w:r w:rsidRPr="00367BEC">
              <w:rPr>
                <w:rFonts w:ascii="Times New Roman" w:hAnsi="Times New Roman"/>
                <w:color w:val="000000"/>
                <w:sz w:val="16"/>
              </w:rPr>
              <w:t>PR</w:t>
            </w:r>
            <w:r w:rsidRPr="00367BEC">
              <w:rPr>
                <w:rFonts w:ascii="Times New Roman" w:hAnsi="Times New Roman"/>
                <w:b/>
                <w:color w:val="000000"/>
                <w:sz w:val="20"/>
                <w:vertAlign w:val="superscript"/>
              </w:rPr>
              <w:t>b</w:t>
            </w:r>
            <w:proofErr w:type="spellEnd"/>
          </w:p>
        </w:tc>
        <w:tc>
          <w:tcPr>
            <w:tcW w:w="1137" w:type="dxa"/>
            <w:tcBorders>
              <w:top w:val="single" w:sz="4" w:space="0" w:color="D0CECE" w:themeColor="background2" w:themeShade="E6"/>
              <w:left w:val="nil"/>
              <w:bottom w:val="nil"/>
              <w:right w:val="nil"/>
            </w:tcBorders>
            <w:shd w:val="clear" w:color="000000" w:fill="FFFFFF"/>
            <w:hideMark/>
          </w:tcPr>
          <w:p w14:paraId="77CEB9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60" w:type="dxa"/>
            <w:tcBorders>
              <w:top w:val="single" w:sz="4" w:space="0" w:color="D0CECE" w:themeColor="background2" w:themeShade="E6"/>
              <w:left w:val="nil"/>
              <w:bottom w:val="nil"/>
              <w:right w:val="nil"/>
            </w:tcBorders>
            <w:shd w:val="clear" w:color="000000" w:fill="FFFFFF"/>
            <w:hideMark/>
          </w:tcPr>
          <w:p w14:paraId="50C0125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872" w:type="dxa"/>
            <w:tcBorders>
              <w:top w:val="single" w:sz="4" w:space="0" w:color="D0CECE" w:themeColor="background2" w:themeShade="E6"/>
              <w:left w:val="nil"/>
              <w:bottom w:val="nil"/>
              <w:right w:val="nil"/>
            </w:tcBorders>
            <w:shd w:val="clear" w:color="000000" w:fill="FFFFFF"/>
            <w:hideMark/>
          </w:tcPr>
          <w:p w14:paraId="738B77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(1331/1331)</w:t>
            </w:r>
          </w:p>
        </w:tc>
        <w:tc>
          <w:tcPr>
            <w:tcW w:w="996" w:type="dxa"/>
            <w:tcBorders>
              <w:top w:val="single" w:sz="4" w:space="0" w:color="D0CECE" w:themeColor="background2" w:themeShade="E6"/>
              <w:left w:val="nil"/>
              <w:bottom w:val="nil"/>
              <w:right w:val="nil"/>
            </w:tcBorders>
            <w:shd w:val="clear" w:color="000000" w:fill="FFFFFF"/>
            <w:hideMark/>
          </w:tcPr>
          <w:p w14:paraId="486429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4" w:space="0" w:color="D0CECE" w:themeColor="background2" w:themeShade="E6"/>
              <w:left w:val="nil"/>
              <w:bottom w:val="nil"/>
              <w:right w:val="nil"/>
            </w:tcBorders>
            <w:shd w:val="clear" w:color="000000" w:fill="FFFFFF"/>
            <w:hideMark/>
          </w:tcPr>
          <w:p w14:paraId="45919D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6" w:type="dxa"/>
            <w:gridSpan w:val="2"/>
            <w:tcBorders>
              <w:top w:val="single" w:sz="4" w:space="0" w:color="D0CECE" w:themeColor="background2" w:themeShade="E6"/>
              <w:left w:val="nil"/>
              <w:bottom w:val="nil"/>
              <w:right w:val="nil"/>
            </w:tcBorders>
            <w:shd w:val="clear" w:color="000000" w:fill="FFFFFF"/>
            <w:hideMark/>
          </w:tcPr>
          <w:p w14:paraId="7E4213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47" w:type="dxa"/>
            <w:tcBorders>
              <w:top w:val="single" w:sz="4" w:space="0" w:color="D0CECE" w:themeColor="background2" w:themeShade="E6"/>
              <w:left w:val="nil"/>
              <w:bottom w:val="nil"/>
              <w:right w:val="nil"/>
            </w:tcBorders>
            <w:shd w:val="clear" w:color="000000" w:fill="FFFFFF"/>
            <w:hideMark/>
          </w:tcPr>
          <w:p w14:paraId="4801354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single" w:sz="4" w:space="0" w:color="D0CECE" w:themeColor="background2" w:themeShade="E6"/>
              <w:left w:val="nil"/>
              <w:bottom w:val="nil"/>
              <w:right w:val="nil"/>
            </w:tcBorders>
            <w:shd w:val="clear" w:color="000000" w:fill="FFFFFF"/>
            <w:hideMark/>
          </w:tcPr>
          <w:p w14:paraId="71664B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single" w:sz="4" w:space="0" w:color="D0CECE" w:themeColor="background2" w:themeShade="E6"/>
              <w:left w:val="nil"/>
              <w:bottom w:val="nil"/>
              <w:right w:val="nil"/>
            </w:tcBorders>
            <w:shd w:val="clear" w:color="000000" w:fill="FFFFFF"/>
            <w:hideMark/>
          </w:tcPr>
          <w:p w14:paraId="7C70EB2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4" w:space="0" w:color="D0CECE" w:themeColor="background2" w:themeShade="E6"/>
              <w:left w:val="nil"/>
              <w:bottom w:val="nil"/>
              <w:right w:val="nil"/>
            </w:tcBorders>
            <w:shd w:val="clear" w:color="000000" w:fill="FFFFFF"/>
            <w:hideMark/>
          </w:tcPr>
          <w:p w14:paraId="12F94A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6DA8520" w14:textId="77777777" w:rsidTr="00CF1C1E">
        <w:trPr>
          <w:trHeight w:val="20"/>
        </w:trPr>
        <w:tc>
          <w:tcPr>
            <w:tcW w:w="1284" w:type="dxa"/>
            <w:tcBorders>
              <w:top w:val="single" w:sz="8" w:space="0" w:color="auto"/>
              <w:left w:val="nil"/>
              <w:bottom w:val="nil"/>
              <w:right w:val="nil"/>
            </w:tcBorders>
            <w:shd w:val="clear" w:color="000000" w:fill="FFFFFF"/>
            <w:noWrap/>
            <w:hideMark/>
          </w:tcPr>
          <w:p w14:paraId="33CA4B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López 2016</w:t>
            </w:r>
          </w:p>
        </w:tc>
        <w:tc>
          <w:tcPr>
            <w:tcW w:w="1129" w:type="dxa"/>
            <w:tcBorders>
              <w:top w:val="single" w:sz="8" w:space="0" w:color="auto"/>
              <w:left w:val="nil"/>
              <w:bottom w:val="nil"/>
              <w:right w:val="nil"/>
            </w:tcBorders>
            <w:shd w:val="clear" w:color="000000" w:fill="FFFFFF"/>
            <w:noWrap/>
            <w:hideMark/>
          </w:tcPr>
          <w:p w14:paraId="72B6B0C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single" w:sz="8" w:space="0" w:color="auto"/>
              <w:left w:val="nil"/>
              <w:bottom w:val="nil"/>
              <w:right w:val="nil"/>
            </w:tcBorders>
            <w:shd w:val="clear" w:color="000000" w:fill="FFFFFF"/>
            <w:hideMark/>
          </w:tcPr>
          <w:p w14:paraId="65A944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Opioide </w:t>
            </w:r>
            <w:proofErr w:type="spellStart"/>
            <w:r w:rsidRPr="00367BEC">
              <w:rPr>
                <w:rFonts w:ascii="Times New Roman" w:hAnsi="Times New Roman"/>
                <w:color w:val="000000"/>
                <w:sz w:val="16"/>
              </w:rPr>
              <w:t>potente</w:t>
            </w:r>
            <w:r w:rsidRPr="00367BEC">
              <w:rPr>
                <w:rFonts w:ascii="Times New Roman" w:hAnsi="Times New Roman"/>
                <w:b/>
                <w:color w:val="000000"/>
                <w:sz w:val="20"/>
                <w:vertAlign w:val="superscript"/>
              </w:rPr>
              <w:t>A</w:t>
            </w:r>
            <w:proofErr w:type="spellEnd"/>
          </w:p>
        </w:tc>
        <w:tc>
          <w:tcPr>
            <w:tcW w:w="360" w:type="dxa"/>
            <w:tcBorders>
              <w:top w:val="single" w:sz="8" w:space="0" w:color="auto"/>
              <w:left w:val="nil"/>
              <w:bottom w:val="nil"/>
              <w:right w:val="nil"/>
            </w:tcBorders>
            <w:shd w:val="clear" w:color="000000" w:fill="FFFFFF"/>
            <w:hideMark/>
          </w:tcPr>
          <w:p w14:paraId="29B423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5,7</w:t>
            </w:r>
          </w:p>
        </w:tc>
        <w:tc>
          <w:tcPr>
            <w:tcW w:w="872" w:type="dxa"/>
            <w:tcBorders>
              <w:top w:val="single" w:sz="8" w:space="0" w:color="auto"/>
              <w:left w:val="nil"/>
              <w:bottom w:val="nil"/>
              <w:right w:val="nil"/>
            </w:tcBorders>
            <w:shd w:val="clear" w:color="000000" w:fill="FFFFFF"/>
            <w:hideMark/>
          </w:tcPr>
          <w:p w14:paraId="7EC3E8E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(3/53)</w:t>
            </w:r>
          </w:p>
        </w:tc>
        <w:tc>
          <w:tcPr>
            <w:tcW w:w="996" w:type="dxa"/>
            <w:tcBorders>
              <w:top w:val="single" w:sz="8" w:space="0" w:color="auto"/>
              <w:left w:val="nil"/>
              <w:bottom w:val="nil"/>
              <w:right w:val="nil"/>
            </w:tcBorders>
            <w:shd w:val="clear" w:color="000000" w:fill="FFFFFF"/>
            <w:hideMark/>
          </w:tcPr>
          <w:p w14:paraId="3CC9DCB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OAR</w:t>
            </w:r>
          </w:p>
        </w:tc>
        <w:tc>
          <w:tcPr>
            <w:tcW w:w="380" w:type="dxa"/>
            <w:tcBorders>
              <w:top w:val="single" w:sz="8" w:space="0" w:color="auto"/>
              <w:left w:val="nil"/>
              <w:bottom w:val="nil"/>
              <w:right w:val="nil"/>
            </w:tcBorders>
            <w:shd w:val="clear" w:color="000000" w:fill="FFFFFF"/>
            <w:hideMark/>
          </w:tcPr>
          <w:p w14:paraId="27258F1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60,4</w:t>
            </w:r>
          </w:p>
        </w:tc>
        <w:tc>
          <w:tcPr>
            <w:tcW w:w="1226" w:type="dxa"/>
            <w:gridSpan w:val="2"/>
            <w:tcBorders>
              <w:top w:val="single" w:sz="8" w:space="0" w:color="auto"/>
              <w:left w:val="nil"/>
              <w:bottom w:val="nil"/>
              <w:right w:val="nil"/>
            </w:tcBorders>
            <w:shd w:val="clear" w:color="000000" w:fill="FFFFFF"/>
            <w:hideMark/>
          </w:tcPr>
          <w:p w14:paraId="66EEE5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(32/53)</w:t>
            </w:r>
          </w:p>
        </w:tc>
        <w:tc>
          <w:tcPr>
            <w:tcW w:w="347" w:type="dxa"/>
            <w:tcBorders>
              <w:top w:val="single" w:sz="8" w:space="0" w:color="auto"/>
              <w:left w:val="nil"/>
              <w:bottom w:val="nil"/>
              <w:right w:val="nil"/>
            </w:tcBorders>
            <w:shd w:val="clear" w:color="000000" w:fill="FFFFFF"/>
            <w:hideMark/>
          </w:tcPr>
          <w:p w14:paraId="75E1ADE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single" w:sz="8" w:space="0" w:color="auto"/>
              <w:left w:val="nil"/>
              <w:bottom w:val="nil"/>
              <w:right w:val="nil"/>
            </w:tcBorders>
            <w:shd w:val="clear" w:color="000000" w:fill="FFFFFF"/>
            <w:hideMark/>
          </w:tcPr>
          <w:p w14:paraId="6DD9223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single" w:sz="8" w:space="0" w:color="auto"/>
              <w:left w:val="nil"/>
              <w:bottom w:val="nil"/>
              <w:right w:val="nil"/>
            </w:tcBorders>
            <w:shd w:val="clear" w:color="000000" w:fill="FFFFFF"/>
            <w:hideMark/>
          </w:tcPr>
          <w:p w14:paraId="3E02E4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8" w:space="0" w:color="auto"/>
              <w:left w:val="nil"/>
              <w:bottom w:val="nil"/>
              <w:right w:val="nil"/>
            </w:tcBorders>
            <w:shd w:val="clear" w:color="000000" w:fill="FFFFFF"/>
            <w:hideMark/>
          </w:tcPr>
          <w:p w14:paraId="100910E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CA1300D" w14:textId="77777777" w:rsidTr="00CF1C1E">
        <w:trPr>
          <w:trHeight w:val="20"/>
        </w:trPr>
        <w:tc>
          <w:tcPr>
            <w:tcW w:w="1284" w:type="dxa"/>
            <w:tcBorders>
              <w:top w:val="nil"/>
              <w:left w:val="nil"/>
              <w:bottom w:val="nil"/>
              <w:right w:val="nil"/>
            </w:tcBorders>
            <w:shd w:val="clear" w:color="000000" w:fill="FFFFFF"/>
            <w:noWrap/>
            <w:hideMark/>
          </w:tcPr>
          <w:p w14:paraId="4831E53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nil"/>
              <w:right w:val="nil"/>
            </w:tcBorders>
            <w:shd w:val="clear" w:color="000000" w:fill="FFFFFF"/>
            <w:noWrap/>
            <w:hideMark/>
          </w:tcPr>
          <w:p w14:paraId="3D33E2A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nil"/>
              <w:right w:val="nil"/>
            </w:tcBorders>
            <w:shd w:val="clear" w:color="000000" w:fill="FFFFFF"/>
            <w:hideMark/>
          </w:tcPr>
          <w:p w14:paraId="0A8AC8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Sin opioides previos</w:t>
            </w:r>
          </w:p>
        </w:tc>
        <w:tc>
          <w:tcPr>
            <w:tcW w:w="360" w:type="dxa"/>
            <w:tcBorders>
              <w:top w:val="nil"/>
              <w:left w:val="nil"/>
              <w:bottom w:val="nil"/>
              <w:right w:val="nil"/>
            </w:tcBorders>
            <w:shd w:val="clear" w:color="000000" w:fill="FFFFFF"/>
            <w:hideMark/>
          </w:tcPr>
          <w:p w14:paraId="0938F54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94,3</w:t>
            </w:r>
          </w:p>
        </w:tc>
        <w:tc>
          <w:tcPr>
            <w:tcW w:w="872" w:type="dxa"/>
            <w:tcBorders>
              <w:top w:val="nil"/>
              <w:left w:val="nil"/>
              <w:bottom w:val="nil"/>
              <w:right w:val="nil"/>
            </w:tcBorders>
            <w:shd w:val="clear" w:color="000000" w:fill="FFFFFF"/>
            <w:hideMark/>
          </w:tcPr>
          <w:p w14:paraId="6926E7F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50</w:t>
            </w:r>
            <w:r w:rsidRPr="00367BEC">
              <w:rPr>
                <w:rFonts w:ascii="Times New Roman" w:hAnsi="Times New Roman"/>
                <w:color w:val="000000"/>
                <w:sz w:val="16"/>
              </w:rPr>
              <w:t>/53)</w:t>
            </w:r>
          </w:p>
        </w:tc>
        <w:tc>
          <w:tcPr>
            <w:tcW w:w="996" w:type="dxa"/>
            <w:tcBorders>
              <w:top w:val="nil"/>
              <w:left w:val="nil"/>
              <w:bottom w:val="nil"/>
              <w:right w:val="nil"/>
            </w:tcBorders>
            <w:shd w:val="clear" w:color="000000" w:fill="FFFFFF"/>
            <w:hideMark/>
          </w:tcPr>
          <w:p w14:paraId="149E68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hideMark/>
          </w:tcPr>
          <w:p w14:paraId="1C2326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6" w:type="dxa"/>
            <w:gridSpan w:val="2"/>
            <w:tcBorders>
              <w:top w:val="nil"/>
              <w:left w:val="nil"/>
              <w:bottom w:val="nil"/>
              <w:right w:val="nil"/>
            </w:tcBorders>
            <w:shd w:val="clear" w:color="000000" w:fill="FFFFFF"/>
            <w:hideMark/>
          </w:tcPr>
          <w:p w14:paraId="0B82C1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47" w:type="dxa"/>
            <w:tcBorders>
              <w:top w:val="nil"/>
              <w:left w:val="nil"/>
              <w:bottom w:val="nil"/>
              <w:right w:val="nil"/>
            </w:tcBorders>
            <w:shd w:val="clear" w:color="000000" w:fill="FFFFFF"/>
            <w:hideMark/>
          </w:tcPr>
          <w:p w14:paraId="3253B7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nil"/>
              <w:left w:val="nil"/>
              <w:bottom w:val="nil"/>
              <w:right w:val="nil"/>
            </w:tcBorders>
            <w:shd w:val="clear" w:color="000000" w:fill="FFFFFF"/>
            <w:hideMark/>
          </w:tcPr>
          <w:p w14:paraId="50BD9F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nil"/>
              <w:left w:val="nil"/>
              <w:bottom w:val="nil"/>
              <w:right w:val="nil"/>
            </w:tcBorders>
            <w:shd w:val="clear" w:color="000000" w:fill="FFFFFF"/>
            <w:hideMark/>
          </w:tcPr>
          <w:p w14:paraId="159A5F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hideMark/>
          </w:tcPr>
          <w:p w14:paraId="5E4448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F9DBF1B" w14:textId="77777777" w:rsidTr="00CF1C1E">
        <w:trPr>
          <w:trHeight w:val="20"/>
        </w:trPr>
        <w:tc>
          <w:tcPr>
            <w:tcW w:w="1284" w:type="dxa"/>
            <w:tcBorders>
              <w:top w:val="single" w:sz="8" w:space="0" w:color="auto"/>
              <w:left w:val="nil"/>
              <w:bottom w:val="single" w:sz="8" w:space="0" w:color="auto"/>
              <w:right w:val="nil"/>
            </w:tcBorders>
            <w:shd w:val="clear" w:color="000000" w:fill="FFFFFF"/>
            <w:noWrap/>
            <w:hideMark/>
          </w:tcPr>
          <w:p w14:paraId="4EBD5E3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Brunetti 2016</w:t>
            </w:r>
          </w:p>
        </w:tc>
        <w:tc>
          <w:tcPr>
            <w:tcW w:w="1129" w:type="dxa"/>
            <w:tcBorders>
              <w:top w:val="single" w:sz="8" w:space="0" w:color="auto"/>
              <w:left w:val="nil"/>
              <w:bottom w:val="single" w:sz="8" w:space="0" w:color="auto"/>
              <w:right w:val="nil"/>
            </w:tcBorders>
            <w:shd w:val="clear" w:color="000000" w:fill="FFFFFF"/>
            <w:noWrap/>
            <w:hideMark/>
          </w:tcPr>
          <w:p w14:paraId="51D3D7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single" w:sz="8" w:space="0" w:color="auto"/>
              <w:left w:val="nil"/>
              <w:bottom w:val="single" w:sz="8" w:space="0" w:color="auto"/>
              <w:right w:val="nil"/>
            </w:tcBorders>
            <w:shd w:val="clear" w:color="000000" w:fill="FFFFFF"/>
            <w:hideMark/>
          </w:tcPr>
          <w:p w14:paraId="470F22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Opioide </w:t>
            </w:r>
            <w:proofErr w:type="spellStart"/>
            <w:r w:rsidRPr="00367BEC">
              <w:rPr>
                <w:rFonts w:ascii="Times New Roman" w:hAnsi="Times New Roman"/>
                <w:color w:val="000000"/>
                <w:sz w:val="16"/>
              </w:rPr>
              <w:t>débil</w:t>
            </w:r>
            <w:r w:rsidRPr="00367BEC">
              <w:rPr>
                <w:rFonts w:ascii="Times New Roman" w:hAnsi="Times New Roman"/>
                <w:b/>
                <w:color w:val="000000"/>
                <w:sz w:val="20"/>
                <w:vertAlign w:val="superscript"/>
              </w:rPr>
              <w:t>B</w:t>
            </w:r>
            <w:proofErr w:type="spellEnd"/>
          </w:p>
        </w:tc>
        <w:tc>
          <w:tcPr>
            <w:tcW w:w="360" w:type="dxa"/>
            <w:tcBorders>
              <w:top w:val="single" w:sz="8" w:space="0" w:color="auto"/>
              <w:left w:val="nil"/>
              <w:bottom w:val="single" w:sz="8" w:space="0" w:color="auto"/>
              <w:right w:val="nil"/>
            </w:tcBorders>
            <w:shd w:val="clear" w:color="000000" w:fill="FFFFFF"/>
            <w:hideMark/>
          </w:tcPr>
          <w:p w14:paraId="2AB8957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61,1</w:t>
            </w:r>
          </w:p>
        </w:tc>
        <w:tc>
          <w:tcPr>
            <w:tcW w:w="872" w:type="dxa"/>
            <w:tcBorders>
              <w:top w:val="single" w:sz="8" w:space="0" w:color="auto"/>
              <w:left w:val="nil"/>
              <w:bottom w:val="single" w:sz="8" w:space="0" w:color="auto"/>
              <w:right w:val="nil"/>
            </w:tcBorders>
            <w:shd w:val="clear" w:color="000000" w:fill="FFFFFF"/>
            <w:hideMark/>
          </w:tcPr>
          <w:p w14:paraId="064A6C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(22/36)</w:t>
            </w:r>
          </w:p>
        </w:tc>
        <w:tc>
          <w:tcPr>
            <w:tcW w:w="996" w:type="dxa"/>
            <w:tcBorders>
              <w:top w:val="single" w:sz="8" w:space="0" w:color="auto"/>
              <w:left w:val="nil"/>
              <w:bottom w:val="single" w:sz="8" w:space="0" w:color="auto"/>
              <w:right w:val="nil"/>
            </w:tcBorders>
            <w:shd w:val="clear" w:color="000000" w:fill="FFFFFF"/>
            <w:hideMark/>
          </w:tcPr>
          <w:p w14:paraId="70421F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single" w:sz="8" w:space="0" w:color="auto"/>
              <w:left w:val="nil"/>
              <w:bottom w:val="single" w:sz="8" w:space="0" w:color="auto"/>
              <w:right w:val="nil"/>
            </w:tcBorders>
            <w:shd w:val="clear" w:color="000000" w:fill="FFFFFF"/>
            <w:hideMark/>
          </w:tcPr>
          <w:p w14:paraId="33B7F7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6" w:type="dxa"/>
            <w:gridSpan w:val="2"/>
            <w:tcBorders>
              <w:top w:val="single" w:sz="8" w:space="0" w:color="auto"/>
              <w:left w:val="nil"/>
              <w:bottom w:val="single" w:sz="8" w:space="0" w:color="auto"/>
              <w:right w:val="nil"/>
            </w:tcBorders>
            <w:shd w:val="clear" w:color="000000" w:fill="FFFFFF"/>
            <w:hideMark/>
          </w:tcPr>
          <w:p w14:paraId="33A4DF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47" w:type="dxa"/>
            <w:tcBorders>
              <w:top w:val="single" w:sz="8" w:space="0" w:color="auto"/>
              <w:left w:val="nil"/>
              <w:bottom w:val="single" w:sz="8" w:space="0" w:color="auto"/>
              <w:right w:val="nil"/>
            </w:tcBorders>
            <w:shd w:val="clear" w:color="000000" w:fill="FFFFFF"/>
            <w:hideMark/>
          </w:tcPr>
          <w:p w14:paraId="572C25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single" w:sz="8" w:space="0" w:color="auto"/>
              <w:left w:val="nil"/>
              <w:bottom w:val="single" w:sz="8" w:space="0" w:color="auto"/>
              <w:right w:val="nil"/>
            </w:tcBorders>
            <w:shd w:val="clear" w:color="000000" w:fill="FFFFFF"/>
            <w:hideMark/>
          </w:tcPr>
          <w:p w14:paraId="53B8DC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single" w:sz="8" w:space="0" w:color="auto"/>
              <w:left w:val="nil"/>
              <w:bottom w:val="single" w:sz="8" w:space="0" w:color="auto"/>
              <w:right w:val="nil"/>
            </w:tcBorders>
            <w:shd w:val="clear" w:color="000000" w:fill="FFFFFF"/>
            <w:hideMark/>
          </w:tcPr>
          <w:p w14:paraId="75E58E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single" w:sz="8" w:space="0" w:color="auto"/>
              <w:left w:val="nil"/>
              <w:bottom w:val="single" w:sz="8" w:space="0" w:color="auto"/>
              <w:right w:val="nil"/>
            </w:tcBorders>
            <w:shd w:val="clear" w:color="000000" w:fill="FFFFFF"/>
            <w:hideMark/>
          </w:tcPr>
          <w:p w14:paraId="0287D2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F6B69D9" w14:textId="77777777" w:rsidTr="00CF1C1E">
        <w:trPr>
          <w:trHeight w:val="20"/>
        </w:trPr>
        <w:tc>
          <w:tcPr>
            <w:tcW w:w="1284" w:type="dxa"/>
            <w:tcBorders>
              <w:top w:val="nil"/>
              <w:left w:val="nil"/>
              <w:bottom w:val="nil"/>
              <w:right w:val="nil"/>
            </w:tcBorders>
            <w:shd w:val="clear" w:color="000000" w:fill="FFFFFF"/>
            <w:noWrap/>
            <w:hideMark/>
          </w:tcPr>
          <w:p w14:paraId="51B944A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Coluzzi</w:t>
            </w:r>
            <w:proofErr w:type="spellEnd"/>
            <w:r w:rsidRPr="00367BEC">
              <w:rPr>
                <w:rFonts w:ascii="Times New Roman" w:hAnsi="Times New Roman"/>
                <w:color w:val="000000"/>
                <w:sz w:val="16"/>
              </w:rPr>
              <w:t xml:space="preserve"> 2015</w:t>
            </w:r>
          </w:p>
        </w:tc>
        <w:tc>
          <w:tcPr>
            <w:tcW w:w="1129" w:type="dxa"/>
            <w:tcBorders>
              <w:top w:val="nil"/>
              <w:left w:val="nil"/>
              <w:bottom w:val="nil"/>
              <w:right w:val="nil"/>
            </w:tcBorders>
            <w:shd w:val="clear" w:color="000000" w:fill="FFFFFF"/>
            <w:noWrap/>
            <w:hideMark/>
          </w:tcPr>
          <w:p w14:paraId="4B8C97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nil"/>
              <w:left w:val="nil"/>
              <w:bottom w:val="nil"/>
              <w:right w:val="nil"/>
            </w:tcBorders>
            <w:shd w:val="clear" w:color="000000" w:fill="FFFFFF"/>
            <w:hideMark/>
          </w:tcPr>
          <w:p w14:paraId="6BA9B1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Sin opioides previos</w:t>
            </w:r>
          </w:p>
        </w:tc>
        <w:tc>
          <w:tcPr>
            <w:tcW w:w="360" w:type="dxa"/>
            <w:tcBorders>
              <w:top w:val="nil"/>
              <w:left w:val="nil"/>
              <w:bottom w:val="nil"/>
              <w:right w:val="nil"/>
            </w:tcBorders>
            <w:shd w:val="clear" w:color="000000" w:fill="FFFFFF"/>
            <w:hideMark/>
          </w:tcPr>
          <w:p w14:paraId="6803B8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872" w:type="dxa"/>
            <w:tcBorders>
              <w:top w:val="nil"/>
              <w:left w:val="nil"/>
              <w:bottom w:val="nil"/>
              <w:right w:val="nil"/>
            </w:tcBorders>
            <w:shd w:val="clear" w:color="000000" w:fill="FFFFFF"/>
            <w:hideMark/>
          </w:tcPr>
          <w:p w14:paraId="71CB00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(25/25)</w:t>
            </w:r>
          </w:p>
        </w:tc>
        <w:tc>
          <w:tcPr>
            <w:tcW w:w="996" w:type="dxa"/>
            <w:tcBorders>
              <w:top w:val="nil"/>
              <w:left w:val="nil"/>
              <w:bottom w:val="nil"/>
              <w:right w:val="nil"/>
            </w:tcBorders>
            <w:shd w:val="clear" w:color="000000" w:fill="FFFFFF"/>
            <w:hideMark/>
          </w:tcPr>
          <w:p w14:paraId="13CE4A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80" w:type="dxa"/>
            <w:tcBorders>
              <w:top w:val="nil"/>
              <w:left w:val="nil"/>
              <w:bottom w:val="nil"/>
              <w:right w:val="nil"/>
            </w:tcBorders>
            <w:shd w:val="clear" w:color="000000" w:fill="FFFFFF"/>
            <w:hideMark/>
          </w:tcPr>
          <w:p w14:paraId="6C1348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26" w:type="dxa"/>
            <w:gridSpan w:val="2"/>
            <w:tcBorders>
              <w:top w:val="nil"/>
              <w:left w:val="nil"/>
              <w:bottom w:val="nil"/>
              <w:right w:val="nil"/>
            </w:tcBorders>
            <w:shd w:val="clear" w:color="000000" w:fill="FFFFFF"/>
            <w:hideMark/>
          </w:tcPr>
          <w:p w14:paraId="3AD05F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47" w:type="dxa"/>
            <w:tcBorders>
              <w:top w:val="nil"/>
              <w:left w:val="nil"/>
              <w:bottom w:val="nil"/>
              <w:right w:val="nil"/>
            </w:tcBorders>
            <w:shd w:val="clear" w:color="000000" w:fill="FFFFFF"/>
            <w:hideMark/>
          </w:tcPr>
          <w:p w14:paraId="66F2D3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97" w:type="dxa"/>
            <w:gridSpan w:val="2"/>
            <w:tcBorders>
              <w:top w:val="nil"/>
              <w:left w:val="nil"/>
              <w:bottom w:val="nil"/>
              <w:right w:val="nil"/>
            </w:tcBorders>
            <w:shd w:val="clear" w:color="000000" w:fill="FFFFFF"/>
            <w:hideMark/>
          </w:tcPr>
          <w:p w14:paraId="0CAC82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5" w:type="dxa"/>
            <w:tcBorders>
              <w:top w:val="nil"/>
              <w:left w:val="nil"/>
              <w:bottom w:val="nil"/>
              <w:right w:val="nil"/>
            </w:tcBorders>
            <w:shd w:val="clear" w:color="000000" w:fill="FFFFFF"/>
            <w:hideMark/>
          </w:tcPr>
          <w:p w14:paraId="511474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467" w:type="dxa"/>
            <w:tcBorders>
              <w:top w:val="nil"/>
              <w:left w:val="nil"/>
              <w:bottom w:val="nil"/>
              <w:right w:val="nil"/>
            </w:tcBorders>
            <w:shd w:val="clear" w:color="000000" w:fill="FFFFFF"/>
            <w:hideMark/>
          </w:tcPr>
          <w:p w14:paraId="18C16C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C9E4C00" w14:textId="77777777" w:rsidTr="00CF1C1E">
        <w:trPr>
          <w:trHeight w:val="20"/>
        </w:trPr>
        <w:tc>
          <w:tcPr>
            <w:tcW w:w="1284" w:type="dxa"/>
            <w:tcBorders>
              <w:top w:val="single" w:sz="8" w:space="0" w:color="auto"/>
              <w:left w:val="nil"/>
              <w:bottom w:val="nil"/>
              <w:right w:val="nil"/>
            </w:tcBorders>
            <w:shd w:val="clear" w:color="000000" w:fill="FFFFFF"/>
            <w:noWrap/>
            <w:hideMark/>
          </w:tcPr>
          <w:p w14:paraId="66C8886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Schwenke</w:t>
            </w:r>
            <w:proofErr w:type="spellEnd"/>
            <w:r w:rsidRPr="00367BEC">
              <w:rPr>
                <w:rFonts w:ascii="Times New Roman" w:hAnsi="Times New Roman"/>
                <w:color w:val="000000"/>
                <w:sz w:val="16"/>
              </w:rPr>
              <w:t xml:space="preserve"> 2015</w:t>
            </w:r>
          </w:p>
        </w:tc>
        <w:tc>
          <w:tcPr>
            <w:tcW w:w="1129" w:type="dxa"/>
            <w:tcBorders>
              <w:top w:val="single" w:sz="8" w:space="0" w:color="auto"/>
              <w:left w:val="nil"/>
              <w:bottom w:val="nil"/>
              <w:right w:val="nil"/>
            </w:tcBorders>
            <w:shd w:val="clear" w:color="000000" w:fill="FFFFFF"/>
            <w:noWrap/>
            <w:hideMark/>
          </w:tcPr>
          <w:p w14:paraId="3625470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single" w:sz="8" w:space="0" w:color="auto"/>
              <w:left w:val="nil"/>
              <w:bottom w:val="nil"/>
              <w:right w:val="nil"/>
            </w:tcBorders>
            <w:shd w:val="clear" w:color="000000" w:fill="FFFFFF"/>
            <w:hideMark/>
          </w:tcPr>
          <w:p w14:paraId="4F21FA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60" w:type="dxa"/>
            <w:tcBorders>
              <w:top w:val="single" w:sz="8" w:space="0" w:color="auto"/>
              <w:left w:val="nil"/>
              <w:bottom w:val="nil"/>
              <w:right w:val="nil"/>
            </w:tcBorders>
            <w:shd w:val="clear" w:color="000000" w:fill="FFFFFF"/>
            <w:hideMark/>
          </w:tcPr>
          <w:p w14:paraId="6581EA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49,0</w:t>
            </w:r>
          </w:p>
        </w:tc>
        <w:tc>
          <w:tcPr>
            <w:tcW w:w="872" w:type="dxa"/>
            <w:tcBorders>
              <w:top w:val="single" w:sz="8" w:space="0" w:color="auto"/>
              <w:left w:val="nil"/>
              <w:bottom w:val="nil"/>
              <w:right w:val="nil"/>
            </w:tcBorders>
            <w:shd w:val="clear" w:color="000000" w:fill="FFFFFF"/>
            <w:hideMark/>
          </w:tcPr>
          <w:p w14:paraId="441702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(70/143)</w:t>
            </w:r>
          </w:p>
        </w:tc>
        <w:tc>
          <w:tcPr>
            <w:tcW w:w="996" w:type="dxa"/>
            <w:tcBorders>
              <w:top w:val="single" w:sz="8" w:space="0" w:color="auto"/>
              <w:left w:val="nil"/>
              <w:bottom w:val="nil"/>
              <w:right w:val="nil"/>
            </w:tcBorders>
            <w:shd w:val="clear" w:color="000000" w:fill="FFFFFF"/>
            <w:hideMark/>
          </w:tcPr>
          <w:p w14:paraId="41C2A2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Opioide potente </w:t>
            </w:r>
          </w:p>
        </w:tc>
        <w:tc>
          <w:tcPr>
            <w:tcW w:w="380" w:type="dxa"/>
            <w:tcBorders>
              <w:top w:val="single" w:sz="8" w:space="0" w:color="auto"/>
              <w:left w:val="nil"/>
              <w:bottom w:val="nil"/>
              <w:right w:val="nil"/>
            </w:tcBorders>
            <w:shd w:val="clear" w:color="000000" w:fill="FFFFFF"/>
            <w:hideMark/>
          </w:tcPr>
          <w:p w14:paraId="62DAED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9,8</w:t>
            </w:r>
          </w:p>
        </w:tc>
        <w:tc>
          <w:tcPr>
            <w:tcW w:w="1226" w:type="dxa"/>
            <w:gridSpan w:val="2"/>
            <w:tcBorders>
              <w:top w:val="single" w:sz="8" w:space="0" w:color="auto"/>
              <w:left w:val="nil"/>
              <w:bottom w:val="nil"/>
              <w:right w:val="nil"/>
            </w:tcBorders>
            <w:shd w:val="clear" w:color="000000" w:fill="FFFFFF"/>
            <w:hideMark/>
          </w:tcPr>
          <w:p w14:paraId="03E09CA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14</w:t>
            </w:r>
            <w:r w:rsidRPr="00367BEC">
              <w:rPr>
                <w:rFonts w:ascii="Times New Roman" w:hAnsi="Times New Roman"/>
                <w:color w:val="000000"/>
                <w:sz w:val="16"/>
              </w:rPr>
              <w:t>/143)</w:t>
            </w:r>
          </w:p>
        </w:tc>
        <w:tc>
          <w:tcPr>
            <w:tcW w:w="347" w:type="dxa"/>
            <w:tcBorders>
              <w:top w:val="single" w:sz="8" w:space="0" w:color="auto"/>
              <w:left w:val="nil"/>
              <w:bottom w:val="nil"/>
              <w:right w:val="nil"/>
            </w:tcBorders>
            <w:shd w:val="clear" w:color="000000" w:fill="FFFFFF"/>
            <w:hideMark/>
          </w:tcPr>
          <w:p w14:paraId="5AE740D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8,4</w:t>
            </w:r>
          </w:p>
        </w:tc>
        <w:tc>
          <w:tcPr>
            <w:tcW w:w="1197" w:type="dxa"/>
            <w:gridSpan w:val="2"/>
            <w:tcBorders>
              <w:top w:val="single" w:sz="8" w:space="0" w:color="auto"/>
              <w:left w:val="nil"/>
              <w:bottom w:val="nil"/>
              <w:right w:val="nil"/>
            </w:tcBorders>
            <w:shd w:val="clear" w:color="000000" w:fill="FFFFFF"/>
            <w:hideMark/>
          </w:tcPr>
          <w:p w14:paraId="74B011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12</w:t>
            </w:r>
            <w:r w:rsidRPr="00367BEC">
              <w:rPr>
                <w:rFonts w:ascii="Times New Roman" w:hAnsi="Times New Roman"/>
                <w:color w:val="000000"/>
                <w:sz w:val="16"/>
              </w:rPr>
              <w:t>/143)</w:t>
            </w:r>
          </w:p>
        </w:tc>
        <w:tc>
          <w:tcPr>
            <w:tcW w:w="1205" w:type="dxa"/>
            <w:tcBorders>
              <w:top w:val="single" w:sz="8" w:space="0" w:color="auto"/>
              <w:left w:val="nil"/>
              <w:bottom w:val="nil"/>
              <w:right w:val="nil"/>
            </w:tcBorders>
            <w:shd w:val="clear" w:color="000000" w:fill="FFFFFF"/>
            <w:hideMark/>
          </w:tcPr>
          <w:p w14:paraId="21A077C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−1,4</w:t>
            </w:r>
          </w:p>
        </w:tc>
        <w:tc>
          <w:tcPr>
            <w:tcW w:w="1467" w:type="dxa"/>
            <w:tcBorders>
              <w:top w:val="single" w:sz="8" w:space="0" w:color="auto"/>
              <w:left w:val="nil"/>
              <w:bottom w:val="nil"/>
              <w:right w:val="nil"/>
            </w:tcBorders>
            <w:shd w:val="clear" w:color="000000" w:fill="FFFFFF"/>
            <w:hideMark/>
          </w:tcPr>
          <w:p w14:paraId="241FA23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−14,3</w:t>
            </w:r>
          </w:p>
        </w:tc>
      </w:tr>
      <w:tr w:rsidR="002E4D99" w:rsidRPr="00367BEC" w14:paraId="080DC044" w14:textId="77777777" w:rsidTr="00CF1C1E">
        <w:trPr>
          <w:trHeight w:val="20"/>
        </w:trPr>
        <w:tc>
          <w:tcPr>
            <w:tcW w:w="1284" w:type="dxa"/>
            <w:tcBorders>
              <w:top w:val="nil"/>
              <w:left w:val="nil"/>
              <w:bottom w:val="nil"/>
              <w:right w:val="nil"/>
            </w:tcBorders>
            <w:shd w:val="clear" w:color="000000" w:fill="FFFFFF"/>
            <w:noWrap/>
            <w:hideMark/>
          </w:tcPr>
          <w:p w14:paraId="0FD6952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nil"/>
              <w:right w:val="nil"/>
            </w:tcBorders>
            <w:shd w:val="clear" w:color="000000" w:fill="FFFFFF"/>
            <w:noWrap/>
            <w:hideMark/>
          </w:tcPr>
          <w:p w14:paraId="362514C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nil"/>
              <w:right w:val="nil"/>
            </w:tcBorders>
            <w:shd w:val="clear" w:color="000000" w:fill="FFFFFF"/>
            <w:hideMark/>
          </w:tcPr>
          <w:p w14:paraId="479B93D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60" w:type="dxa"/>
            <w:tcBorders>
              <w:top w:val="nil"/>
              <w:left w:val="nil"/>
              <w:bottom w:val="nil"/>
              <w:right w:val="nil"/>
            </w:tcBorders>
            <w:shd w:val="clear" w:color="000000" w:fill="FFFFFF"/>
            <w:hideMark/>
          </w:tcPr>
          <w:p w14:paraId="3683DF7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48,3</w:t>
            </w:r>
          </w:p>
        </w:tc>
        <w:tc>
          <w:tcPr>
            <w:tcW w:w="872" w:type="dxa"/>
            <w:tcBorders>
              <w:top w:val="nil"/>
              <w:left w:val="nil"/>
              <w:bottom w:val="nil"/>
              <w:right w:val="nil"/>
            </w:tcBorders>
            <w:shd w:val="clear" w:color="000000" w:fill="FFFFFF"/>
            <w:hideMark/>
          </w:tcPr>
          <w:p w14:paraId="7C1FFC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(69/143)</w:t>
            </w:r>
          </w:p>
        </w:tc>
        <w:tc>
          <w:tcPr>
            <w:tcW w:w="996" w:type="dxa"/>
            <w:tcBorders>
              <w:top w:val="nil"/>
              <w:left w:val="nil"/>
              <w:bottom w:val="nil"/>
              <w:right w:val="nil"/>
            </w:tcBorders>
            <w:shd w:val="clear" w:color="000000" w:fill="FFFFFF"/>
            <w:hideMark/>
          </w:tcPr>
          <w:p w14:paraId="722D07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Opioide débil </w:t>
            </w:r>
          </w:p>
        </w:tc>
        <w:tc>
          <w:tcPr>
            <w:tcW w:w="380" w:type="dxa"/>
            <w:tcBorders>
              <w:top w:val="nil"/>
              <w:left w:val="nil"/>
              <w:bottom w:val="nil"/>
              <w:right w:val="nil"/>
            </w:tcBorders>
            <w:shd w:val="clear" w:color="000000" w:fill="FFFFFF"/>
            <w:hideMark/>
          </w:tcPr>
          <w:p w14:paraId="447E3D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15,4</w:t>
            </w:r>
          </w:p>
        </w:tc>
        <w:tc>
          <w:tcPr>
            <w:tcW w:w="1226" w:type="dxa"/>
            <w:gridSpan w:val="2"/>
            <w:tcBorders>
              <w:top w:val="nil"/>
              <w:left w:val="nil"/>
              <w:bottom w:val="nil"/>
              <w:right w:val="nil"/>
            </w:tcBorders>
            <w:shd w:val="clear" w:color="000000" w:fill="FFFFFF"/>
            <w:hideMark/>
          </w:tcPr>
          <w:p w14:paraId="3A152B0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22</w:t>
            </w:r>
            <w:r w:rsidRPr="00367BEC">
              <w:rPr>
                <w:rFonts w:ascii="Times New Roman" w:hAnsi="Times New Roman"/>
                <w:color w:val="000000"/>
                <w:sz w:val="16"/>
              </w:rPr>
              <w:t>/143)</w:t>
            </w:r>
          </w:p>
        </w:tc>
        <w:tc>
          <w:tcPr>
            <w:tcW w:w="347" w:type="dxa"/>
            <w:tcBorders>
              <w:top w:val="nil"/>
              <w:left w:val="nil"/>
              <w:bottom w:val="nil"/>
              <w:right w:val="nil"/>
            </w:tcBorders>
            <w:shd w:val="clear" w:color="000000" w:fill="FFFFFF"/>
            <w:hideMark/>
          </w:tcPr>
          <w:p w14:paraId="591F76D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7,7</w:t>
            </w:r>
          </w:p>
        </w:tc>
        <w:tc>
          <w:tcPr>
            <w:tcW w:w="1197" w:type="dxa"/>
            <w:gridSpan w:val="2"/>
            <w:tcBorders>
              <w:top w:val="nil"/>
              <w:left w:val="nil"/>
              <w:bottom w:val="nil"/>
              <w:right w:val="nil"/>
            </w:tcBorders>
            <w:shd w:val="clear" w:color="000000" w:fill="FFFFFF"/>
            <w:hideMark/>
          </w:tcPr>
          <w:p w14:paraId="271E05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11</w:t>
            </w:r>
            <w:r w:rsidRPr="00367BEC">
              <w:rPr>
                <w:rFonts w:ascii="Times New Roman" w:hAnsi="Times New Roman"/>
                <w:color w:val="000000"/>
                <w:sz w:val="16"/>
              </w:rPr>
              <w:t>/143)</w:t>
            </w:r>
          </w:p>
        </w:tc>
        <w:tc>
          <w:tcPr>
            <w:tcW w:w="1205" w:type="dxa"/>
            <w:tcBorders>
              <w:top w:val="nil"/>
              <w:left w:val="nil"/>
              <w:bottom w:val="nil"/>
              <w:right w:val="nil"/>
            </w:tcBorders>
            <w:shd w:val="clear" w:color="000000" w:fill="FFFFFF"/>
            <w:hideMark/>
          </w:tcPr>
          <w:p w14:paraId="45BCFDA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−7,7</w:t>
            </w:r>
          </w:p>
        </w:tc>
        <w:tc>
          <w:tcPr>
            <w:tcW w:w="1467" w:type="dxa"/>
            <w:tcBorders>
              <w:top w:val="nil"/>
              <w:left w:val="nil"/>
              <w:bottom w:val="nil"/>
              <w:right w:val="nil"/>
            </w:tcBorders>
            <w:shd w:val="clear" w:color="000000" w:fill="FFFFFF"/>
            <w:hideMark/>
          </w:tcPr>
          <w:p w14:paraId="7E5B1A5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−50,0</w:t>
            </w:r>
          </w:p>
        </w:tc>
      </w:tr>
      <w:tr w:rsidR="002E4D99" w:rsidRPr="00367BEC" w14:paraId="1270F8D7" w14:textId="77777777" w:rsidTr="00CF1C1E">
        <w:trPr>
          <w:trHeight w:val="20"/>
        </w:trPr>
        <w:tc>
          <w:tcPr>
            <w:tcW w:w="1284" w:type="dxa"/>
            <w:tcBorders>
              <w:top w:val="nil"/>
              <w:left w:val="nil"/>
              <w:bottom w:val="nil"/>
              <w:right w:val="nil"/>
            </w:tcBorders>
            <w:shd w:val="clear" w:color="000000" w:fill="FFFFFF"/>
            <w:noWrap/>
            <w:hideMark/>
          </w:tcPr>
          <w:p w14:paraId="1295A9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nil"/>
              <w:right w:val="nil"/>
            </w:tcBorders>
            <w:shd w:val="clear" w:color="000000" w:fill="FFFFFF"/>
            <w:noWrap/>
            <w:hideMark/>
          </w:tcPr>
          <w:p w14:paraId="129741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nil"/>
              <w:right w:val="nil"/>
            </w:tcBorders>
            <w:shd w:val="clear" w:color="000000" w:fill="FFFFFF"/>
            <w:hideMark/>
          </w:tcPr>
          <w:p w14:paraId="4FA833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60" w:type="dxa"/>
            <w:tcBorders>
              <w:top w:val="nil"/>
              <w:left w:val="nil"/>
              <w:bottom w:val="nil"/>
              <w:right w:val="nil"/>
            </w:tcBorders>
            <w:shd w:val="clear" w:color="000000" w:fill="FFFFFF"/>
            <w:hideMark/>
          </w:tcPr>
          <w:p w14:paraId="02BDEF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81,0</w:t>
            </w:r>
          </w:p>
        </w:tc>
        <w:tc>
          <w:tcPr>
            <w:tcW w:w="872" w:type="dxa"/>
            <w:tcBorders>
              <w:top w:val="nil"/>
              <w:left w:val="nil"/>
              <w:bottom w:val="nil"/>
              <w:right w:val="nil"/>
            </w:tcBorders>
            <w:shd w:val="clear" w:color="000000" w:fill="FFFFFF"/>
            <w:hideMark/>
          </w:tcPr>
          <w:p w14:paraId="4B8A6CD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(117/143)</w:t>
            </w:r>
          </w:p>
        </w:tc>
        <w:tc>
          <w:tcPr>
            <w:tcW w:w="996" w:type="dxa"/>
            <w:tcBorders>
              <w:top w:val="nil"/>
              <w:left w:val="nil"/>
              <w:bottom w:val="nil"/>
              <w:right w:val="nil"/>
            </w:tcBorders>
            <w:shd w:val="clear" w:color="000000" w:fill="FFFFFF"/>
            <w:hideMark/>
          </w:tcPr>
          <w:p w14:paraId="187D8CD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No opioide </w:t>
            </w:r>
          </w:p>
        </w:tc>
        <w:tc>
          <w:tcPr>
            <w:tcW w:w="380" w:type="dxa"/>
            <w:tcBorders>
              <w:top w:val="nil"/>
              <w:left w:val="nil"/>
              <w:bottom w:val="nil"/>
              <w:right w:val="nil"/>
            </w:tcBorders>
            <w:shd w:val="clear" w:color="000000" w:fill="FFFFFF"/>
            <w:hideMark/>
          </w:tcPr>
          <w:p w14:paraId="239192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63,6</w:t>
            </w:r>
          </w:p>
        </w:tc>
        <w:tc>
          <w:tcPr>
            <w:tcW w:w="1226" w:type="dxa"/>
            <w:gridSpan w:val="2"/>
            <w:tcBorders>
              <w:top w:val="nil"/>
              <w:left w:val="nil"/>
              <w:bottom w:val="nil"/>
              <w:right w:val="nil"/>
            </w:tcBorders>
            <w:shd w:val="clear" w:color="000000" w:fill="FFFFFF"/>
            <w:hideMark/>
          </w:tcPr>
          <w:p w14:paraId="22BBF1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91</w:t>
            </w:r>
            <w:r w:rsidRPr="00367BEC">
              <w:rPr>
                <w:rFonts w:ascii="Times New Roman" w:hAnsi="Times New Roman"/>
                <w:color w:val="000000"/>
                <w:sz w:val="16"/>
              </w:rPr>
              <w:t>/143)</w:t>
            </w:r>
          </w:p>
        </w:tc>
        <w:tc>
          <w:tcPr>
            <w:tcW w:w="347" w:type="dxa"/>
            <w:tcBorders>
              <w:top w:val="nil"/>
              <w:left w:val="nil"/>
              <w:bottom w:val="nil"/>
              <w:right w:val="nil"/>
            </w:tcBorders>
            <w:shd w:val="clear" w:color="000000" w:fill="FFFFFF"/>
            <w:hideMark/>
          </w:tcPr>
          <w:p w14:paraId="1F3D73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37,8</w:t>
            </w:r>
          </w:p>
        </w:tc>
        <w:tc>
          <w:tcPr>
            <w:tcW w:w="1197" w:type="dxa"/>
            <w:gridSpan w:val="2"/>
            <w:tcBorders>
              <w:top w:val="nil"/>
              <w:left w:val="nil"/>
              <w:bottom w:val="nil"/>
              <w:right w:val="nil"/>
            </w:tcBorders>
            <w:shd w:val="clear" w:color="000000" w:fill="FFFFFF"/>
            <w:hideMark/>
          </w:tcPr>
          <w:p w14:paraId="137A7F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54</w:t>
            </w:r>
            <w:r w:rsidRPr="00367BEC">
              <w:rPr>
                <w:rFonts w:ascii="Times New Roman" w:hAnsi="Times New Roman"/>
                <w:color w:val="000000"/>
                <w:sz w:val="16"/>
              </w:rPr>
              <w:t>/143)</w:t>
            </w:r>
          </w:p>
        </w:tc>
        <w:tc>
          <w:tcPr>
            <w:tcW w:w="1205" w:type="dxa"/>
            <w:tcBorders>
              <w:top w:val="nil"/>
              <w:left w:val="nil"/>
              <w:bottom w:val="nil"/>
              <w:right w:val="nil"/>
            </w:tcBorders>
            <w:shd w:val="clear" w:color="000000" w:fill="FFFFFF"/>
            <w:hideMark/>
          </w:tcPr>
          <w:p w14:paraId="5D7E9A6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−25,8</w:t>
            </w:r>
          </w:p>
        </w:tc>
        <w:tc>
          <w:tcPr>
            <w:tcW w:w="1467" w:type="dxa"/>
            <w:tcBorders>
              <w:top w:val="nil"/>
              <w:left w:val="nil"/>
              <w:bottom w:val="nil"/>
              <w:right w:val="nil"/>
            </w:tcBorders>
            <w:shd w:val="clear" w:color="000000" w:fill="FFFFFF"/>
            <w:hideMark/>
          </w:tcPr>
          <w:p w14:paraId="5CF7331E"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−40,6</w:t>
            </w:r>
          </w:p>
        </w:tc>
      </w:tr>
      <w:tr w:rsidR="002E4D99" w:rsidRPr="00367BEC" w14:paraId="5219D238" w14:textId="77777777" w:rsidTr="00CF1C1E">
        <w:trPr>
          <w:trHeight w:val="20"/>
        </w:trPr>
        <w:tc>
          <w:tcPr>
            <w:tcW w:w="1284" w:type="dxa"/>
            <w:tcBorders>
              <w:top w:val="single" w:sz="8" w:space="0" w:color="auto"/>
              <w:left w:val="nil"/>
              <w:bottom w:val="nil"/>
              <w:right w:val="nil"/>
            </w:tcBorders>
            <w:shd w:val="clear" w:color="000000" w:fill="FFFFFF"/>
            <w:noWrap/>
            <w:hideMark/>
          </w:tcPr>
          <w:p w14:paraId="13071C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Schikowski</w:t>
            </w:r>
            <w:proofErr w:type="spellEnd"/>
            <w:r w:rsidRPr="00367BEC">
              <w:rPr>
                <w:rFonts w:ascii="Times New Roman" w:hAnsi="Times New Roman"/>
                <w:color w:val="000000"/>
                <w:sz w:val="16"/>
              </w:rPr>
              <w:t xml:space="preserve"> 2015</w:t>
            </w:r>
          </w:p>
        </w:tc>
        <w:tc>
          <w:tcPr>
            <w:tcW w:w="1129" w:type="dxa"/>
            <w:tcBorders>
              <w:top w:val="single" w:sz="8" w:space="0" w:color="auto"/>
              <w:left w:val="nil"/>
              <w:bottom w:val="nil"/>
              <w:right w:val="nil"/>
            </w:tcBorders>
            <w:shd w:val="clear" w:color="000000" w:fill="FFFFFF"/>
            <w:noWrap/>
            <w:hideMark/>
          </w:tcPr>
          <w:p w14:paraId="12CA52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7" w:type="dxa"/>
            <w:tcBorders>
              <w:top w:val="single" w:sz="8" w:space="0" w:color="auto"/>
              <w:left w:val="nil"/>
              <w:bottom w:val="nil"/>
              <w:right w:val="nil"/>
            </w:tcBorders>
            <w:shd w:val="clear" w:color="000000" w:fill="FFFFFF"/>
            <w:hideMark/>
          </w:tcPr>
          <w:p w14:paraId="76D136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60" w:type="dxa"/>
            <w:tcBorders>
              <w:top w:val="single" w:sz="8" w:space="0" w:color="auto"/>
              <w:left w:val="nil"/>
              <w:bottom w:val="nil"/>
              <w:right w:val="nil"/>
            </w:tcBorders>
            <w:shd w:val="clear" w:color="000000" w:fill="FFFFFF"/>
            <w:hideMark/>
          </w:tcPr>
          <w:p w14:paraId="5319D7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42,3</w:t>
            </w:r>
          </w:p>
        </w:tc>
        <w:tc>
          <w:tcPr>
            <w:tcW w:w="872" w:type="dxa"/>
            <w:tcBorders>
              <w:top w:val="single" w:sz="8" w:space="0" w:color="auto"/>
              <w:left w:val="nil"/>
              <w:bottom w:val="nil"/>
              <w:right w:val="nil"/>
            </w:tcBorders>
            <w:shd w:val="clear" w:color="000000" w:fill="FFFFFF"/>
            <w:hideMark/>
          </w:tcPr>
          <w:p w14:paraId="217170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52</w:t>
            </w:r>
            <w:r w:rsidRPr="00367BEC">
              <w:rPr>
                <w:rFonts w:ascii="Times New Roman" w:hAnsi="Times New Roman"/>
                <w:color w:val="000000"/>
                <w:sz w:val="16"/>
              </w:rPr>
              <w:t>/123)</w:t>
            </w:r>
          </w:p>
        </w:tc>
        <w:tc>
          <w:tcPr>
            <w:tcW w:w="996" w:type="dxa"/>
            <w:tcBorders>
              <w:top w:val="single" w:sz="8" w:space="0" w:color="auto"/>
              <w:left w:val="nil"/>
              <w:bottom w:val="nil"/>
              <w:right w:val="nil"/>
            </w:tcBorders>
            <w:shd w:val="clear" w:color="000000" w:fill="FFFFFF"/>
            <w:hideMark/>
          </w:tcPr>
          <w:p w14:paraId="1800A5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potente</w:t>
            </w:r>
          </w:p>
        </w:tc>
        <w:tc>
          <w:tcPr>
            <w:tcW w:w="380" w:type="dxa"/>
            <w:tcBorders>
              <w:top w:val="single" w:sz="8" w:space="0" w:color="auto"/>
              <w:left w:val="nil"/>
              <w:bottom w:val="nil"/>
              <w:right w:val="nil"/>
            </w:tcBorders>
            <w:shd w:val="clear" w:color="000000" w:fill="FFFFFF"/>
            <w:hideMark/>
          </w:tcPr>
          <w:p w14:paraId="6BCDF7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10,6</w:t>
            </w:r>
          </w:p>
        </w:tc>
        <w:tc>
          <w:tcPr>
            <w:tcW w:w="1226" w:type="dxa"/>
            <w:gridSpan w:val="2"/>
            <w:tcBorders>
              <w:top w:val="single" w:sz="8" w:space="0" w:color="auto"/>
              <w:left w:val="nil"/>
              <w:bottom w:val="nil"/>
              <w:right w:val="nil"/>
            </w:tcBorders>
            <w:shd w:val="clear" w:color="000000" w:fill="FFFFFF"/>
            <w:hideMark/>
          </w:tcPr>
          <w:p w14:paraId="57AD48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13</w:t>
            </w:r>
            <w:r w:rsidRPr="00367BEC">
              <w:rPr>
                <w:rFonts w:ascii="Times New Roman" w:hAnsi="Times New Roman"/>
                <w:color w:val="000000"/>
                <w:sz w:val="16"/>
              </w:rPr>
              <w:t>/123)</w:t>
            </w:r>
          </w:p>
        </w:tc>
        <w:tc>
          <w:tcPr>
            <w:tcW w:w="347" w:type="dxa"/>
            <w:tcBorders>
              <w:top w:val="single" w:sz="8" w:space="0" w:color="auto"/>
              <w:left w:val="nil"/>
              <w:bottom w:val="nil"/>
              <w:right w:val="nil"/>
            </w:tcBorders>
            <w:shd w:val="clear" w:color="000000" w:fill="FFFFFF"/>
            <w:hideMark/>
          </w:tcPr>
          <w:p w14:paraId="2DD50D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13,0</w:t>
            </w:r>
          </w:p>
        </w:tc>
        <w:tc>
          <w:tcPr>
            <w:tcW w:w="1197" w:type="dxa"/>
            <w:gridSpan w:val="2"/>
            <w:tcBorders>
              <w:top w:val="single" w:sz="8" w:space="0" w:color="auto"/>
              <w:left w:val="nil"/>
              <w:bottom w:val="nil"/>
              <w:right w:val="nil"/>
            </w:tcBorders>
            <w:shd w:val="clear" w:color="000000" w:fill="FFFFFF"/>
            <w:hideMark/>
          </w:tcPr>
          <w:p w14:paraId="6185753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16</w:t>
            </w:r>
            <w:r w:rsidRPr="00367BEC">
              <w:rPr>
                <w:rFonts w:ascii="Times New Roman" w:hAnsi="Times New Roman"/>
                <w:color w:val="000000"/>
                <w:sz w:val="16"/>
              </w:rPr>
              <w:t>/123)</w:t>
            </w:r>
          </w:p>
        </w:tc>
        <w:tc>
          <w:tcPr>
            <w:tcW w:w="1205" w:type="dxa"/>
            <w:tcBorders>
              <w:top w:val="single" w:sz="8" w:space="0" w:color="auto"/>
              <w:left w:val="nil"/>
              <w:bottom w:val="nil"/>
              <w:right w:val="nil"/>
            </w:tcBorders>
            <w:shd w:val="clear" w:color="000000" w:fill="FFFFFF"/>
            <w:hideMark/>
          </w:tcPr>
          <w:p w14:paraId="57EF0A4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2,4</w:t>
            </w:r>
          </w:p>
        </w:tc>
        <w:tc>
          <w:tcPr>
            <w:tcW w:w="1467" w:type="dxa"/>
            <w:tcBorders>
              <w:top w:val="single" w:sz="8" w:space="0" w:color="auto"/>
              <w:left w:val="nil"/>
              <w:bottom w:val="nil"/>
              <w:right w:val="nil"/>
            </w:tcBorders>
            <w:shd w:val="clear" w:color="000000" w:fill="FFFFFF"/>
            <w:hideMark/>
          </w:tcPr>
          <w:p w14:paraId="08697E2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22,6</w:t>
            </w:r>
          </w:p>
        </w:tc>
      </w:tr>
      <w:tr w:rsidR="002E4D99" w:rsidRPr="00367BEC" w14:paraId="357F1415" w14:textId="77777777" w:rsidTr="00CF1C1E">
        <w:trPr>
          <w:trHeight w:val="20"/>
        </w:trPr>
        <w:tc>
          <w:tcPr>
            <w:tcW w:w="1284" w:type="dxa"/>
            <w:tcBorders>
              <w:top w:val="nil"/>
              <w:left w:val="nil"/>
              <w:right w:val="nil"/>
            </w:tcBorders>
            <w:shd w:val="clear" w:color="000000" w:fill="FFFFFF"/>
            <w:noWrap/>
            <w:hideMark/>
          </w:tcPr>
          <w:p w14:paraId="43A29A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right w:val="nil"/>
            </w:tcBorders>
            <w:shd w:val="clear" w:color="000000" w:fill="FFFFFF"/>
            <w:noWrap/>
            <w:hideMark/>
          </w:tcPr>
          <w:p w14:paraId="501544C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right w:val="nil"/>
            </w:tcBorders>
            <w:shd w:val="clear" w:color="000000" w:fill="FFFFFF"/>
            <w:hideMark/>
          </w:tcPr>
          <w:p w14:paraId="5AFD57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60" w:type="dxa"/>
            <w:tcBorders>
              <w:top w:val="nil"/>
              <w:left w:val="nil"/>
              <w:right w:val="nil"/>
            </w:tcBorders>
            <w:shd w:val="clear" w:color="000000" w:fill="FFFFFF"/>
            <w:hideMark/>
          </w:tcPr>
          <w:p w14:paraId="441CFE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39,0</w:t>
            </w:r>
          </w:p>
        </w:tc>
        <w:tc>
          <w:tcPr>
            <w:tcW w:w="872" w:type="dxa"/>
            <w:tcBorders>
              <w:top w:val="nil"/>
              <w:left w:val="nil"/>
              <w:right w:val="nil"/>
            </w:tcBorders>
            <w:shd w:val="clear" w:color="000000" w:fill="FFFFFF"/>
            <w:hideMark/>
          </w:tcPr>
          <w:p w14:paraId="276032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48</w:t>
            </w:r>
            <w:r w:rsidRPr="00367BEC">
              <w:rPr>
                <w:rFonts w:ascii="Times New Roman" w:hAnsi="Times New Roman"/>
                <w:color w:val="000000"/>
                <w:sz w:val="16"/>
              </w:rPr>
              <w:t>/123)</w:t>
            </w:r>
          </w:p>
        </w:tc>
        <w:tc>
          <w:tcPr>
            <w:tcW w:w="996" w:type="dxa"/>
            <w:tcBorders>
              <w:top w:val="nil"/>
              <w:left w:val="nil"/>
              <w:right w:val="nil"/>
            </w:tcBorders>
            <w:shd w:val="clear" w:color="000000" w:fill="FFFFFF"/>
            <w:hideMark/>
          </w:tcPr>
          <w:p w14:paraId="30731A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Opioide débil</w:t>
            </w:r>
          </w:p>
        </w:tc>
        <w:tc>
          <w:tcPr>
            <w:tcW w:w="380" w:type="dxa"/>
            <w:tcBorders>
              <w:top w:val="nil"/>
              <w:left w:val="nil"/>
              <w:right w:val="nil"/>
            </w:tcBorders>
            <w:shd w:val="clear" w:color="000000" w:fill="FFFFFF"/>
            <w:hideMark/>
          </w:tcPr>
          <w:p w14:paraId="4AC8EAF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7,3</w:t>
            </w:r>
          </w:p>
        </w:tc>
        <w:tc>
          <w:tcPr>
            <w:tcW w:w="1226" w:type="dxa"/>
            <w:gridSpan w:val="2"/>
            <w:tcBorders>
              <w:top w:val="nil"/>
              <w:left w:val="nil"/>
              <w:right w:val="nil"/>
            </w:tcBorders>
            <w:shd w:val="clear" w:color="000000" w:fill="FFFFFF"/>
            <w:hideMark/>
          </w:tcPr>
          <w:p w14:paraId="18EBB2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i/>
                <w:color w:val="000000"/>
                <w:sz w:val="16"/>
              </w:rPr>
              <w:t>(9</w:t>
            </w:r>
            <w:r w:rsidRPr="00367BEC">
              <w:rPr>
                <w:rFonts w:ascii="Times New Roman" w:hAnsi="Times New Roman"/>
                <w:color w:val="000000"/>
                <w:sz w:val="16"/>
              </w:rPr>
              <w:t>/123)</w:t>
            </w:r>
          </w:p>
        </w:tc>
        <w:tc>
          <w:tcPr>
            <w:tcW w:w="347" w:type="dxa"/>
            <w:tcBorders>
              <w:top w:val="nil"/>
              <w:left w:val="nil"/>
              <w:right w:val="nil"/>
            </w:tcBorders>
            <w:shd w:val="clear" w:color="000000" w:fill="FFFFFF"/>
            <w:hideMark/>
          </w:tcPr>
          <w:p w14:paraId="2522CA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2,4</w:t>
            </w:r>
          </w:p>
        </w:tc>
        <w:tc>
          <w:tcPr>
            <w:tcW w:w="1197" w:type="dxa"/>
            <w:gridSpan w:val="2"/>
            <w:tcBorders>
              <w:top w:val="nil"/>
              <w:left w:val="nil"/>
              <w:right w:val="nil"/>
            </w:tcBorders>
            <w:shd w:val="clear" w:color="000000" w:fill="FFFFFF"/>
            <w:hideMark/>
          </w:tcPr>
          <w:p w14:paraId="42AE05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w:t>
            </w:r>
            <w:r w:rsidRPr="00367BEC">
              <w:rPr>
                <w:rFonts w:ascii="Times New Roman" w:hAnsi="Times New Roman"/>
                <w:color w:val="000000"/>
                <w:sz w:val="16"/>
              </w:rPr>
              <w:t>/123)</w:t>
            </w:r>
          </w:p>
        </w:tc>
        <w:tc>
          <w:tcPr>
            <w:tcW w:w="1205" w:type="dxa"/>
            <w:tcBorders>
              <w:top w:val="nil"/>
              <w:left w:val="nil"/>
              <w:right w:val="nil"/>
            </w:tcBorders>
            <w:shd w:val="clear" w:color="000000" w:fill="FFFFFF"/>
            <w:hideMark/>
          </w:tcPr>
          <w:p w14:paraId="2904A3A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−4,9</w:t>
            </w:r>
          </w:p>
        </w:tc>
        <w:tc>
          <w:tcPr>
            <w:tcW w:w="1467" w:type="dxa"/>
            <w:tcBorders>
              <w:top w:val="nil"/>
              <w:left w:val="nil"/>
              <w:right w:val="nil"/>
            </w:tcBorders>
            <w:shd w:val="clear" w:color="000000" w:fill="FFFFFF"/>
            <w:hideMark/>
          </w:tcPr>
          <w:p w14:paraId="3206448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−67,1</w:t>
            </w:r>
          </w:p>
        </w:tc>
      </w:tr>
      <w:tr w:rsidR="002E4D99" w:rsidRPr="00367BEC" w14:paraId="1AB45FDB" w14:textId="77777777" w:rsidTr="00CF1C1E">
        <w:trPr>
          <w:trHeight w:val="20"/>
        </w:trPr>
        <w:tc>
          <w:tcPr>
            <w:tcW w:w="1284" w:type="dxa"/>
            <w:tcBorders>
              <w:top w:val="nil"/>
              <w:left w:val="nil"/>
              <w:bottom w:val="single" w:sz="4" w:space="0" w:color="auto"/>
              <w:right w:val="nil"/>
            </w:tcBorders>
            <w:shd w:val="clear" w:color="000000" w:fill="FFFFFF"/>
            <w:noWrap/>
            <w:hideMark/>
          </w:tcPr>
          <w:p w14:paraId="67322F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29" w:type="dxa"/>
            <w:tcBorders>
              <w:top w:val="nil"/>
              <w:left w:val="nil"/>
              <w:bottom w:val="single" w:sz="4" w:space="0" w:color="auto"/>
              <w:right w:val="nil"/>
            </w:tcBorders>
            <w:shd w:val="clear" w:color="000000" w:fill="FFFFFF"/>
            <w:noWrap/>
            <w:hideMark/>
          </w:tcPr>
          <w:p w14:paraId="0B6206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7" w:type="dxa"/>
            <w:tcBorders>
              <w:top w:val="nil"/>
              <w:left w:val="nil"/>
              <w:bottom w:val="single" w:sz="4" w:space="0" w:color="auto"/>
              <w:right w:val="nil"/>
            </w:tcBorders>
            <w:shd w:val="clear" w:color="000000" w:fill="FFFFFF"/>
            <w:hideMark/>
          </w:tcPr>
          <w:p w14:paraId="4A92BEB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60" w:type="dxa"/>
            <w:tcBorders>
              <w:top w:val="nil"/>
              <w:left w:val="nil"/>
              <w:bottom w:val="single" w:sz="4" w:space="0" w:color="auto"/>
              <w:right w:val="nil"/>
            </w:tcBorders>
            <w:shd w:val="clear" w:color="000000" w:fill="FFFFFF"/>
            <w:hideMark/>
          </w:tcPr>
          <w:p w14:paraId="7AAC37D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78,9</w:t>
            </w:r>
          </w:p>
        </w:tc>
        <w:tc>
          <w:tcPr>
            <w:tcW w:w="872" w:type="dxa"/>
            <w:tcBorders>
              <w:top w:val="nil"/>
              <w:left w:val="nil"/>
              <w:bottom w:val="single" w:sz="4" w:space="0" w:color="auto"/>
              <w:right w:val="nil"/>
            </w:tcBorders>
            <w:shd w:val="clear" w:color="000000" w:fill="FFFFFF"/>
            <w:hideMark/>
          </w:tcPr>
          <w:p w14:paraId="3BE640F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97</w:t>
            </w:r>
            <w:r w:rsidRPr="00367BEC">
              <w:rPr>
                <w:rFonts w:ascii="Times New Roman" w:hAnsi="Times New Roman"/>
                <w:color w:val="000000"/>
                <w:sz w:val="16"/>
              </w:rPr>
              <w:t>/123)</w:t>
            </w:r>
          </w:p>
        </w:tc>
        <w:tc>
          <w:tcPr>
            <w:tcW w:w="996" w:type="dxa"/>
            <w:tcBorders>
              <w:top w:val="nil"/>
              <w:left w:val="nil"/>
              <w:bottom w:val="single" w:sz="4" w:space="0" w:color="auto"/>
              <w:right w:val="nil"/>
            </w:tcBorders>
            <w:shd w:val="clear" w:color="000000" w:fill="FFFFFF"/>
            <w:hideMark/>
          </w:tcPr>
          <w:p w14:paraId="0B5811B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No opioide</w:t>
            </w:r>
          </w:p>
        </w:tc>
        <w:tc>
          <w:tcPr>
            <w:tcW w:w="380" w:type="dxa"/>
            <w:tcBorders>
              <w:top w:val="nil"/>
              <w:left w:val="nil"/>
              <w:bottom w:val="single" w:sz="4" w:space="0" w:color="auto"/>
              <w:right w:val="nil"/>
            </w:tcBorders>
            <w:shd w:val="clear" w:color="000000" w:fill="FFFFFF"/>
            <w:hideMark/>
          </w:tcPr>
          <w:p w14:paraId="4CAB56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64,2</w:t>
            </w:r>
          </w:p>
        </w:tc>
        <w:tc>
          <w:tcPr>
            <w:tcW w:w="1226" w:type="dxa"/>
            <w:gridSpan w:val="2"/>
            <w:tcBorders>
              <w:top w:val="nil"/>
              <w:left w:val="nil"/>
              <w:bottom w:val="single" w:sz="4" w:space="0" w:color="auto"/>
              <w:right w:val="nil"/>
            </w:tcBorders>
            <w:shd w:val="clear" w:color="000000" w:fill="FFFFFF"/>
            <w:hideMark/>
          </w:tcPr>
          <w:p w14:paraId="641D2E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i/>
                <w:color w:val="000000"/>
                <w:sz w:val="16"/>
              </w:rPr>
              <w:t>(79</w:t>
            </w:r>
            <w:r w:rsidRPr="00367BEC">
              <w:rPr>
                <w:rFonts w:ascii="Times New Roman" w:hAnsi="Times New Roman"/>
                <w:color w:val="000000"/>
                <w:sz w:val="16"/>
              </w:rPr>
              <w:t>/123)</w:t>
            </w:r>
          </w:p>
        </w:tc>
        <w:tc>
          <w:tcPr>
            <w:tcW w:w="347" w:type="dxa"/>
            <w:tcBorders>
              <w:top w:val="nil"/>
              <w:left w:val="nil"/>
              <w:bottom w:val="single" w:sz="4" w:space="0" w:color="auto"/>
              <w:right w:val="nil"/>
            </w:tcBorders>
            <w:shd w:val="clear" w:color="000000" w:fill="FFFFFF"/>
            <w:hideMark/>
          </w:tcPr>
          <w:p w14:paraId="4E8594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47,2</w:t>
            </w:r>
          </w:p>
        </w:tc>
        <w:tc>
          <w:tcPr>
            <w:tcW w:w="1197" w:type="dxa"/>
            <w:gridSpan w:val="2"/>
            <w:tcBorders>
              <w:top w:val="nil"/>
              <w:left w:val="nil"/>
              <w:bottom w:val="single" w:sz="4" w:space="0" w:color="auto"/>
              <w:right w:val="nil"/>
            </w:tcBorders>
            <w:shd w:val="clear" w:color="000000" w:fill="FFFFFF"/>
            <w:hideMark/>
          </w:tcPr>
          <w:p w14:paraId="758E19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58</w:t>
            </w:r>
            <w:r w:rsidRPr="00367BEC">
              <w:rPr>
                <w:rFonts w:ascii="Times New Roman" w:hAnsi="Times New Roman"/>
                <w:color w:val="000000"/>
                <w:sz w:val="16"/>
              </w:rPr>
              <w:t>/123)</w:t>
            </w:r>
          </w:p>
        </w:tc>
        <w:tc>
          <w:tcPr>
            <w:tcW w:w="1205" w:type="dxa"/>
            <w:tcBorders>
              <w:top w:val="nil"/>
              <w:left w:val="nil"/>
              <w:bottom w:val="single" w:sz="4" w:space="0" w:color="auto"/>
              <w:right w:val="nil"/>
            </w:tcBorders>
            <w:shd w:val="clear" w:color="000000" w:fill="FFFFFF"/>
            <w:hideMark/>
          </w:tcPr>
          <w:p w14:paraId="67650A5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−17,0</w:t>
            </w:r>
          </w:p>
        </w:tc>
        <w:tc>
          <w:tcPr>
            <w:tcW w:w="1467" w:type="dxa"/>
            <w:tcBorders>
              <w:top w:val="nil"/>
              <w:left w:val="nil"/>
              <w:bottom w:val="single" w:sz="4" w:space="0" w:color="auto"/>
              <w:right w:val="nil"/>
            </w:tcBorders>
            <w:shd w:val="clear" w:color="000000" w:fill="FFFFFF"/>
            <w:hideMark/>
          </w:tcPr>
          <w:p w14:paraId="2A4B02B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−26,5</w:t>
            </w:r>
          </w:p>
        </w:tc>
      </w:tr>
    </w:tbl>
    <w:p w14:paraId="14CE1693" w14:textId="77777777" w:rsidR="002E4D99" w:rsidRPr="00367BEC" w:rsidRDefault="002E4D99" w:rsidP="002E4D99">
      <w:pPr>
        <w:spacing w:after="0" w:line="240" w:lineRule="auto"/>
        <w:ind w:right="-179"/>
        <w:jc w:val="both"/>
        <w:rPr>
          <w:rFonts w:ascii="Times New Roman" w:hAnsi="Times New Roman" w:cs="Times New Roman"/>
          <w:b/>
          <w:bCs/>
          <w:sz w:val="16"/>
          <w:szCs w:val="16"/>
        </w:rPr>
      </w:pPr>
    </w:p>
    <w:p w14:paraId="4144B9DA" w14:textId="24C89019" w:rsidR="002E4D99" w:rsidRPr="00367BEC" w:rsidRDefault="002E4D99" w:rsidP="002E4D99">
      <w:pPr>
        <w:spacing w:after="0" w:line="240" w:lineRule="auto"/>
        <w:ind w:right="-179"/>
        <w:jc w:val="both"/>
        <w:rPr>
          <w:rFonts w:ascii="Times New Roman" w:hAnsi="Times New Roman" w:cs="Times New Roman"/>
          <w:sz w:val="16"/>
          <w:szCs w:val="16"/>
        </w:rPr>
      </w:pPr>
      <w:r w:rsidRPr="00367BEC">
        <w:rPr>
          <w:rFonts w:ascii="Times New Roman" w:hAnsi="Times New Roman"/>
          <w:b/>
          <w:sz w:val="16"/>
        </w:rPr>
        <w:t>Abreviaturas:</w:t>
      </w:r>
      <w:r w:rsidRPr="00367BEC">
        <w:rPr>
          <w:rFonts w:ascii="Times New Roman" w:hAnsi="Times New Roman"/>
          <w:sz w:val="16"/>
        </w:rPr>
        <w:t xml:space="preserve"> m (mes), OXN (oxicodona/naloxona), PR (</w:t>
      </w:r>
      <w:r w:rsidR="00784720">
        <w:rPr>
          <w:rFonts w:ascii="Times New Roman" w:hAnsi="Times New Roman"/>
          <w:sz w:val="16"/>
        </w:rPr>
        <w:t>liberación prolongada</w:t>
      </w:r>
      <w:r w:rsidRPr="00367BEC">
        <w:rPr>
          <w:rFonts w:ascii="Times New Roman" w:hAnsi="Times New Roman"/>
          <w:sz w:val="16"/>
        </w:rPr>
        <w:t xml:space="preserve">), OAR (opioide de acción rápida), TAP (tapentadol); </w:t>
      </w:r>
      <w:r w:rsidRPr="00367BEC">
        <w:rPr>
          <w:rFonts w:ascii="Times New Roman" w:hAnsi="Times New Roman"/>
          <w:b/>
          <w:color w:val="000000"/>
          <w:sz w:val="20"/>
          <w:vertAlign w:val="superscript"/>
        </w:rPr>
        <w:t>b</w:t>
      </w:r>
      <w:r w:rsidRPr="00367BEC">
        <w:rPr>
          <w:rFonts w:ascii="Times New Roman" w:hAnsi="Times New Roman"/>
          <w:color w:val="000000"/>
          <w:sz w:val="16"/>
        </w:rPr>
        <w:t xml:space="preserve"> cohorte con tratamiento previo con opioides potentes</w:t>
      </w:r>
      <w:r w:rsidRPr="00367BEC">
        <w:rPr>
          <w:rFonts w:ascii="Times New Roman" w:hAnsi="Times New Roman"/>
          <w:b/>
          <w:sz w:val="20"/>
          <w:vertAlign w:val="superscript"/>
        </w:rPr>
        <w:t xml:space="preserve"> A</w:t>
      </w:r>
      <w:r w:rsidRPr="00367BEC">
        <w:rPr>
          <w:rFonts w:ascii="Times New Roman" w:hAnsi="Times New Roman"/>
          <w:sz w:val="16"/>
        </w:rPr>
        <w:t xml:space="preserve"> morfina y oxicodona, </w:t>
      </w:r>
      <w:r w:rsidRPr="00367BEC">
        <w:rPr>
          <w:rFonts w:ascii="Times New Roman" w:hAnsi="Times New Roman"/>
          <w:b/>
          <w:sz w:val="20"/>
          <w:vertAlign w:val="superscript"/>
        </w:rPr>
        <w:t>B</w:t>
      </w:r>
      <w:r w:rsidRPr="00367BEC">
        <w:rPr>
          <w:rFonts w:ascii="Times New Roman" w:hAnsi="Times New Roman"/>
          <w:sz w:val="16"/>
        </w:rPr>
        <w:t xml:space="preserve"> tramadol; </w:t>
      </w:r>
      <w:r w:rsidRPr="00367BEC">
        <w:rPr>
          <w:rFonts w:ascii="Times New Roman" w:hAnsi="Times New Roman"/>
          <w:color w:val="000000"/>
          <w:sz w:val="16"/>
        </w:rPr>
        <w:t xml:space="preserve">los números en </w:t>
      </w:r>
      <w:r w:rsidRPr="00367BEC">
        <w:rPr>
          <w:rFonts w:ascii="Times New Roman" w:hAnsi="Times New Roman"/>
          <w:i/>
          <w:color w:val="000000"/>
          <w:sz w:val="16"/>
        </w:rPr>
        <w:t>cursiva</w:t>
      </w:r>
      <w:r w:rsidRPr="00367BEC">
        <w:rPr>
          <w:rFonts w:ascii="Times New Roman" w:hAnsi="Times New Roman"/>
          <w:color w:val="000000"/>
          <w:sz w:val="16"/>
        </w:rPr>
        <w:t xml:space="preserve"> se han estimado a partir de datos proporcionados en el manuscrito</w:t>
      </w:r>
    </w:p>
    <w:p w14:paraId="049ABFBC" w14:textId="77777777" w:rsidR="002E4D99" w:rsidRPr="00367BEC" w:rsidRDefault="002E4D99" w:rsidP="002E4D99">
      <w:pPr>
        <w:spacing w:after="0" w:line="240" w:lineRule="auto"/>
        <w:jc w:val="both"/>
        <w:rPr>
          <w:rFonts w:ascii="Times New Roman" w:hAnsi="Times New Roman" w:cs="Times New Roman"/>
          <w:bCs/>
          <w:sz w:val="24"/>
          <w:szCs w:val="24"/>
        </w:rPr>
      </w:pPr>
      <w:r w:rsidRPr="00367BEC">
        <w:br w:type="page"/>
      </w:r>
      <w:r w:rsidRPr="00367BEC">
        <w:rPr>
          <w:rFonts w:ascii="Times New Roman" w:hAnsi="Times New Roman"/>
          <w:b/>
        </w:rPr>
        <w:lastRenderedPageBreak/>
        <w:t xml:space="preserve">Tabla 4. </w:t>
      </w:r>
      <w:r w:rsidRPr="00367BEC">
        <w:rPr>
          <w:rFonts w:ascii="Times New Roman" w:hAnsi="Times New Roman"/>
        </w:rPr>
        <w:t>Descripción de las herramientas de evaluación de la intensidad del dolor y parámetros de respuesta</w:t>
      </w:r>
    </w:p>
    <w:p w14:paraId="3FBA331D"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2012"/>
        <w:gridCol w:w="9329"/>
      </w:tblGrid>
      <w:tr w:rsidR="002E4D99" w:rsidRPr="00367BEC" w14:paraId="38DFBF17" w14:textId="77777777" w:rsidTr="00CF1C1E">
        <w:trPr>
          <w:trHeight w:val="283"/>
        </w:trPr>
        <w:tc>
          <w:tcPr>
            <w:tcW w:w="799" w:type="pct"/>
            <w:tcBorders>
              <w:top w:val="nil"/>
              <w:left w:val="nil"/>
              <w:bottom w:val="single" w:sz="8" w:space="0" w:color="auto"/>
              <w:right w:val="nil"/>
            </w:tcBorders>
            <w:shd w:val="clear" w:color="000000" w:fill="FFFFFF"/>
            <w:noWrap/>
            <w:vAlign w:val="center"/>
            <w:hideMark/>
          </w:tcPr>
          <w:p w14:paraId="6547B2A1"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Herramienta</w:t>
            </w:r>
          </w:p>
        </w:tc>
        <w:tc>
          <w:tcPr>
            <w:tcW w:w="4201" w:type="pct"/>
            <w:tcBorders>
              <w:top w:val="nil"/>
              <w:left w:val="nil"/>
              <w:bottom w:val="single" w:sz="8" w:space="0" w:color="auto"/>
              <w:right w:val="nil"/>
            </w:tcBorders>
            <w:shd w:val="clear" w:color="000000" w:fill="FFFFFF"/>
            <w:noWrap/>
            <w:vAlign w:val="center"/>
            <w:hideMark/>
          </w:tcPr>
          <w:p w14:paraId="0A9CB531"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Definición</w:t>
            </w:r>
          </w:p>
        </w:tc>
      </w:tr>
      <w:tr w:rsidR="002E4D99" w:rsidRPr="00367BEC" w14:paraId="38318D60" w14:textId="77777777" w:rsidTr="00CF1C1E">
        <w:trPr>
          <w:trHeight w:val="20"/>
        </w:trPr>
        <w:tc>
          <w:tcPr>
            <w:tcW w:w="799" w:type="pct"/>
            <w:tcBorders>
              <w:top w:val="nil"/>
              <w:left w:val="nil"/>
              <w:bottom w:val="nil"/>
              <w:right w:val="nil"/>
            </w:tcBorders>
            <w:shd w:val="clear" w:color="000000" w:fill="FFFFFF"/>
            <w:hideMark/>
          </w:tcPr>
          <w:p w14:paraId="7AB2A839" w14:textId="4777321A" w:rsidR="002E4D99" w:rsidRPr="00367BEC" w:rsidRDefault="00401451" w:rsidP="00CF1C1E">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EVN</w:t>
            </w:r>
            <w:r w:rsidR="00537209">
              <w:rPr>
                <w:rFonts w:ascii="Times New Roman" w:hAnsi="Times New Roman"/>
                <w:b/>
                <w:color w:val="000000"/>
                <w:sz w:val="20"/>
              </w:rPr>
              <w:t>-11</w:t>
            </w:r>
          </w:p>
        </w:tc>
        <w:tc>
          <w:tcPr>
            <w:tcW w:w="4201" w:type="pct"/>
            <w:tcBorders>
              <w:top w:val="nil"/>
              <w:left w:val="nil"/>
              <w:bottom w:val="nil"/>
              <w:right w:val="nil"/>
            </w:tcBorders>
            <w:shd w:val="clear" w:color="000000" w:fill="FFFFFF"/>
            <w:hideMark/>
          </w:tcPr>
          <w:p w14:paraId="32EC8ED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Escala de valoración numérica de 0 = «sin dolor» a 10 = «peor dolor imaginable»</w:t>
            </w:r>
          </w:p>
        </w:tc>
      </w:tr>
      <w:tr w:rsidR="002E4D99" w:rsidRPr="00367BEC" w14:paraId="2992E033" w14:textId="77777777" w:rsidTr="00CF1C1E">
        <w:trPr>
          <w:trHeight w:val="20"/>
        </w:trPr>
        <w:tc>
          <w:tcPr>
            <w:tcW w:w="799" w:type="pct"/>
            <w:tcBorders>
              <w:top w:val="nil"/>
              <w:left w:val="nil"/>
              <w:bottom w:val="nil"/>
              <w:right w:val="nil"/>
            </w:tcBorders>
            <w:shd w:val="clear" w:color="000000" w:fill="FFFFFF"/>
            <w:noWrap/>
            <w:vAlign w:val="bottom"/>
            <w:hideMark/>
          </w:tcPr>
          <w:p w14:paraId="60097497"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4201" w:type="pct"/>
            <w:tcBorders>
              <w:top w:val="nil"/>
              <w:left w:val="nil"/>
              <w:bottom w:val="nil"/>
              <w:right w:val="nil"/>
            </w:tcBorders>
            <w:shd w:val="clear" w:color="000000" w:fill="FFFFFF"/>
            <w:noWrap/>
            <w:vAlign w:val="bottom"/>
            <w:hideMark/>
          </w:tcPr>
          <w:p w14:paraId="65CAA117"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 </w:t>
            </w:r>
          </w:p>
        </w:tc>
      </w:tr>
      <w:tr w:rsidR="002E4D99" w:rsidRPr="00367BEC" w14:paraId="73F467D3" w14:textId="77777777" w:rsidTr="00CF1C1E">
        <w:trPr>
          <w:trHeight w:val="20"/>
        </w:trPr>
        <w:tc>
          <w:tcPr>
            <w:tcW w:w="799" w:type="pct"/>
            <w:tcBorders>
              <w:top w:val="nil"/>
              <w:left w:val="nil"/>
              <w:bottom w:val="nil"/>
              <w:right w:val="nil"/>
            </w:tcBorders>
            <w:shd w:val="clear" w:color="000000" w:fill="FFFFFF"/>
            <w:noWrap/>
            <w:hideMark/>
          </w:tcPr>
          <w:p w14:paraId="02AFCD23"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≤3 (%)</w:t>
            </w:r>
          </w:p>
        </w:tc>
        <w:tc>
          <w:tcPr>
            <w:tcW w:w="4201" w:type="pct"/>
            <w:tcBorders>
              <w:top w:val="nil"/>
              <w:left w:val="nil"/>
              <w:bottom w:val="nil"/>
              <w:right w:val="nil"/>
            </w:tcBorders>
            <w:shd w:val="clear" w:color="000000" w:fill="FFFFFF"/>
            <w:noWrap/>
            <w:hideMark/>
          </w:tcPr>
          <w:p w14:paraId="2D5D6B9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puntuación ≤3 en la EVN-11</w:t>
            </w:r>
          </w:p>
        </w:tc>
      </w:tr>
      <w:tr w:rsidR="002E4D99" w:rsidRPr="00367BEC" w14:paraId="35F199DB" w14:textId="77777777" w:rsidTr="00CF1C1E">
        <w:trPr>
          <w:trHeight w:val="20"/>
        </w:trPr>
        <w:tc>
          <w:tcPr>
            <w:tcW w:w="799" w:type="pct"/>
            <w:tcBorders>
              <w:top w:val="nil"/>
              <w:left w:val="nil"/>
              <w:bottom w:val="nil"/>
              <w:right w:val="nil"/>
            </w:tcBorders>
            <w:shd w:val="clear" w:color="000000" w:fill="FFFFFF"/>
            <w:noWrap/>
            <w:hideMark/>
          </w:tcPr>
          <w:p w14:paraId="02400BCF"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=3 (%)</w:t>
            </w:r>
          </w:p>
        </w:tc>
        <w:tc>
          <w:tcPr>
            <w:tcW w:w="4201" w:type="pct"/>
            <w:tcBorders>
              <w:top w:val="nil"/>
              <w:left w:val="nil"/>
              <w:bottom w:val="nil"/>
              <w:right w:val="nil"/>
            </w:tcBorders>
            <w:shd w:val="clear" w:color="000000" w:fill="FFFFFF"/>
            <w:noWrap/>
            <w:hideMark/>
          </w:tcPr>
          <w:p w14:paraId="6E11A4F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puntuación de 3 en la EVN-11</w:t>
            </w:r>
          </w:p>
        </w:tc>
      </w:tr>
      <w:tr w:rsidR="002E4D99" w:rsidRPr="00367BEC" w14:paraId="5576F203" w14:textId="77777777" w:rsidTr="00CF1C1E">
        <w:trPr>
          <w:trHeight w:val="20"/>
        </w:trPr>
        <w:tc>
          <w:tcPr>
            <w:tcW w:w="799" w:type="pct"/>
            <w:tcBorders>
              <w:top w:val="nil"/>
              <w:left w:val="nil"/>
              <w:bottom w:val="nil"/>
              <w:right w:val="nil"/>
            </w:tcBorders>
            <w:shd w:val="clear" w:color="000000" w:fill="FFFFFF"/>
            <w:noWrap/>
            <w:hideMark/>
          </w:tcPr>
          <w:p w14:paraId="10A82B1F"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≤OTP (%)</w:t>
            </w:r>
          </w:p>
        </w:tc>
        <w:tc>
          <w:tcPr>
            <w:tcW w:w="4201" w:type="pct"/>
            <w:tcBorders>
              <w:top w:val="nil"/>
              <w:left w:val="nil"/>
              <w:bottom w:val="nil"/>
              <w:right w:val="nil"/>
            </w:tcBorders>
            <w:shd w:val="clear" w:color="000000" w:fill="FFFFFF"/>
            <w:noWrap/>
            <w:hideMark/>
          </w:tcPr>
          <w:p w14:paraId="1E8AFF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que alcanzaron su objetivo terapéutico personalizado (OTP) en la EVN-11</w:t>
            </w:r>
          </w:p>
        </w:tc>
      </w:tr>
      <w:tr w:rsidR="002E4D99" w:rsidRPr="00367BEC" w14:paraId="324C4202" w14:textId="77777777" w:rsidTr="00CF1C1E">
        <w:trPr>
          <w:trHeight w:val="20"/>
        </w:trPr>
        <w:tc>
          <w:tcPr>
            <w:tcW w:w="799" w:type="pct"/>
            <w:tcBorders>
              <w:top w:val="nil"/>
              <w:left w:val="nil"/>
              <w:bottom w:val="nil"/>
              <w:right w:val="nil"/>
            </w:tcBorders>
            <w:shd w:val="clear" w:color="000000" w:fill="FFFFFF"/>
            <w:noWrap/>
            <w:hideMark/>
          </w:tcPr>
          <w:p w14:paraId="4F2F3402"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↓≥2 (%)</w:t>
            </w:r>
          </w:p>
        </w:tc>
        <w:tc>
          <w:tcPr>
            <w:tcW w:w="4201" w:type="pct"/>
            <w:tcBorders>
              <w:top w:val="nil"/>
              <w:left w:val="nil"/>
              <w:bottom w:val="nil"/>
              <w:right w:val="nil"/>
            </w:tcBorders>
            <w:shd w:val="clear" w:color="000000" w:fill="FFFFFF"/>
            <w:noWrap/>
            <w:hideMark/>
          </w:tcPr>
          <w:p w14:paraId="60EAFF2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≥2 puntos respecto al inicio en la EVN-11</w:t>
            </w:r>
          </w:p>
        </w:tc>
      </w:tr>
      <w:tr w:rsidR="002E4D99" w:rsidRPr="00367BEC" w14:paraId="149865FE" w14:textId="77777777" w:rsidTr="00CF1C1E">
        <w:trPr>
          <w:trHeight w:val="20"/>
        </w:trPr>
        <w:tc>
          <w:tcPr>
            <w:tcW w:w="799" w:type="pct"/>
            <w:tcBorders>
              <w:top w:val="nil"/>
              <w:left w:val="nil"/>
              <w:bottom w:val="nil"/>
              <w:right w:val="nil"/>
            </w:tcBorders>
            <w:shd w:val="clear" w:color="000000" w:fill="FFFFFF"/>
            <w:noWrap/>
            <w:hideMark/>
          </w:tcPr>
          <w:p w14:paraId="328D0658"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↓&gt;30 % (%)</w:t>
            </w:r>
          </w:p>
        </w:tc>
        <w:tc>
          <w:tcPr>
            <w:tcW w:w="4201" w:type="pct"/>
            <w:tcBorders>
              <w:top w:val="nil"/>
              <w:left w:val="nil"/>
              <w:bottom w:val="nil"/>
              <w:right w:val="nil"/>
            </w:tcBorders>
            <w:shd w:val="clear" w:color="000000" w:fill="FFFFFF"/>
            <w:noWrap/>
            <w:hideMark/>
          </w:tcPr>
          <w:p w14:paraId="6739199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&gt;30 % respecto al inicio en la EVN-11</w:t>
            </w:r>
          </w:p>
        </w:tc>
      </w:tr>
      <w:tr w:rsidR="002E4D99" w:rsidRPr="00367BEC" w14:paraId="45AC1DFD" w14:textId="77777777" w:rsidTr="00CF1C1E">
        <w:trPr>
          <w:trHeight w:val="20"/>
        </w:trPr>
        <w:tc>
          <w:tcPr>
            <w:tcW w:w="799" w:type="pct"/>
            <w:tcBorders>
              <w:top w:val="nil"/>
              <w:left w:val="nil"/>
              <w:bottom w:val="nil"/>
              <w:right w:val="nil"/>
            </w:tcBorders>
            <w:shd w:val="clear" w:color="000000" w:fill="FFFFFF"/>
            <w:noWrap/>
            <w:hideMark/>
          </w:tcPr>
          <w:p w14:paraId="358D7F77"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↓&gt;50 % (%)</w:t>
            </w:r>
          </w:p>
        </w:tc>
        <w:tc>
          <w:tcPr>
            <w:tcW w:w="4201" w:type="pct"/>
            <w:tcBorders>
              <w:top w:val="nil"/>
              <w:left w:val="nil"/>
              <w:bottom w:val="nil"/>
              <w:right w:val="nil"/>
            </w:tcBorders>
            <w:shd w:val="clear" w:color="000000" w:fill="FFFFFF"/>
            <w:noWrap/>
            <w:hideMark/>
          </w:tcPr>
          <w:p w14:paraId="105FC8E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&gt;50 % respecto al inicio en la EVN-11</w:t>
            </w:r>
          </w:p>
        </w:tc>
      </w:tr>
      <w:tr w:rsidR="002E4D99" w:rsidRPr="00367BEC" w14:paraId="5EAD6A86" w14:textId="77777777" w:rsidTr="00CF1C1E">
        <w:trPr>
          <w:trHeight w:val="20"/>
        </w:trPr>
        <w:tc>
          <w:tcPr>
            <w:tcW w:w="799" w:type="pct"/>
            <w:tcBorders>
              <w:top w:val="nil"/>
              <w:left w:val="nil"/>
              <w:bottom w:val="single" w:sz="4" w:space="0" w:color="auto"/>
              <w:right w:val="nil"/>
            </w:tcBorders>
            <w:shd w:val="clear" w:color="000000" w:fill="FFFFFF"/>
            <w:noWrap/>
            <w:hideMark/>
          </w:tcPr>
          <w:p w14:paraId="77075058"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↓&gt;70 % (%)</w:t>
            </w:r>
          </w:p>
        </w:tc>
        <w:tc>
          <w:tcPr>
            <w:tcW w:w="4201" w:type="pct"/>
            <w:tcBorders>
              <w:top w:val="nil"/>
              <w:left w:val="nil"/>
              <w:bottom w:val="single" w:sz="4" w:space="0" w:color="auto"/>
              <w:right w:val="nil"/>
            </w:tcBorders>
            <w:shd w:val="clear" w:color="000000" w:fill="FFFFFF"/>
            <w:noWrap/>
            <w:hideMark/>
          </w:tcPr>
          <w:p w14:paraId="6EA22D3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&gt;70 % respecto al inicio en la EVN-11</w:t>
            </w:r>
          </w:p>
        </w:tc>
      </w:tr>
      <w:tr w:rsidR="002E4D99" w:rsidRPr="00367BEC" w14:paraId="5E06988F" w14:textId="77777777" w:rsidTr="00CF1C1E">
        <w:trPr>
          <w:trHeight w:val="20"/>
        </w:trPr>
        <w:tc>
          <w:tcPr>
            <w:tcW w:w="799" w:type="pct"/>
            <w:tcBorders>
              <w:top w:val="nil"/>
              <w:left w:val="nil"/>
              <w:bottom w:val="nil"/>
              <w:right w:val="nil"/>
            </w:tcBorders>
            <w:shd w:val="clear" w:color="000000" w:fill="FFFFFF"/>
            <w:hideMark/>
          </w:tcPr>
          <w:p w14:paraId="3DDC84E6" w14:textId="5954ACAE" w:rsidR="002E4D99" w:rsidRPr="00367BEC" w:rsidRDefault="00401451" w:rsidP="00CF1C1E">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EVA</w:t>
            </w:r>
            <w:r w:rsidR="00537209">
              <w:rPr>
                <w:rFonts w:ascii="Times New Roman" w:hAnsi="Times New Roman"/>
                <w:b/>
                <w:color w:val="000000"/>
                <w:sz w:val="20"/>
              </w:rPr>
              <w:t>-11</w:t>
            </w:r>
          </w:p>
        </w:tc>
        <w:tc>
          <w:tcPr>
            <w:tcW w:w="4201" w:type="pct"/>
            <w:tcBorders>
              <w:top w:val="nil"/>
              <w:left w:val="nil"/>
              <w:bottom w:val="nil"/>
              <w:right w:val="nil"/>
            </w:tcBorders>
            <w:shd w:val="clear" w:color="000000" w:fill="FFFFFF"/>
            <w:hideMark/>
          </w:tcPr>
          <w:p w14:paraId="4FE34CD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Escala visual analógica de 0 = «sin dolor» a 10 = «peor dolor imaginable»</w:t>
            </w:r>
          </w:p>
        </w:tc>
      </w:tr>
      <w:tr w:rsidR="002E4D99" w:rsidRPr="00367BEC" w14:paraId="311EE2B0" w14:textId="77777777" w:rsidTr="00CF1C1E">
        <w:trPr>
          <w:trHeight w:val="20"/>
        </w:trPr>
        <w:tc>
          <w:tcPr>
            <w:tcW w:w="799" w:type="pct"/>
            <w:tcBorders>
              <w:top w:val="nil"/>
              <w:left w:val="nil"/>
              <w:bottom w:val="nil"/>
              <w:right w:val="nil"/>
            </w:tcBorders>
            <w:shd w:val="clear" w:color="000000" w:fill="FFFFFF"/>
            <w:noWrap/>
            <w:vAlign w:val="bottom"/>
            <w:hideMark/>
          </w:tcPr>
          <w:p w14:paraId="3E178D5A"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4201" w:type="pct"/>
            <w:tcBorders>
              <w:top w:val="nil"/>
              <w:left w:val="nil"/>
              <w:bottom w:val="nil"/>
              <w:right w:val="nil"/>
            </w:tcBorders>
            <w:shd w:val="clear" w:color="000000" w:fill="FFFFFF"/>
            <w:noWrap/>
            <w:vAlign w:val="bottom"/>
            <w:hideMark/>
          </w:tcPr>
          <w:p w14:paraId="289682A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708EE913" w14:textId="77777777" w:rsidTr="00CF1C1E">
        <w:trPr>
          <w:trHeight w:val="20"/>
        </w:trPr>
        <w:tc>
          <w:tcPr>
            <w:tcW w:w="799" w:type="pct"/>
            <w:tcBorders>
              <w:top w:val="nil"/>
              <w:left w:val="nil"/>
              <w:bottom w:val="nil"/>
              <w:right w:val="nil"/>
            </w:tcBorders>
            <w:shd w:val="clear" w:color="000000" w:fill="FFFFFF"/>
            <w:noWrap/>
            <w:hideMark/>
          </w:tcPr>
          <w:p w14:paraId="08EB3F40"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Efecto potente (%)</w:t>
            </w:r>
          </w:p>
        </w:tc>
        <w:tc>
          <w:tcPr>
            <w:tcW w:w="4201" w:type="pct"/>
            <w:tcBorders>
              <w:top w:val="nil"/>
              <w:left w:val="nil"/>
              <w:bottom w:val="nil"/>
              <w:right w:val="nil"/>
            </w:tcBorders>
            <w:shd w:val="clear" w:color="000000" w:fill="FFFFFF"/>
            <w:noWrap/>
            <w:hideMark/>
          </w:tcPr>
          <w:p w14:paraId="43E62E6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en la EVA ≥4 respecto al inicio sin aumento de la dosis</w:t>
            </w:r>
          </w:p>
        </w:tc>
      </w:tr>
      <w:tr w:rsidR="002E4D99" w:rsidRPr="00367BEC" w14:paraId="6B92CB9C" w14:textId="77777777" w:rsidTr="00CF1C1E">
        <w:trPr>
          <w:trHeight w:val="20"/>
        </w:trPr>
        <w:tc>
          <w:tcPr>
            <w:tcW w:w="799" w:type="pct"/>
            <w:tcBorders>
              <w:top w:val="nil"/>
              <w:left w:val="nil"/>
              <w:bottom w:val="nil"/>
              <w:right w:val="nil"/>
            </w:tcBorders>
            <w:shd w:val="clear" w:color="000000" w:fill="FFFFFF"/>
            <w:noWrap/>
            <w:hideMark/>
          </w:tcPr>
          <w:p w14:paraId="35907EEE"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Efecto parcial (%)</w:t>
            </w:r>
          </w:p>
        </w:tc>
        <w:tc>
          <w:tcPr>
            <w:tcW w:w="4201" w:type="pct"/>
            <w:tcBorders>
              <w:top w:val="nil"/>
              <w:left w:val="nil"/>
              <w:bottom w:val="nil"/>
              <w:right w:val="nil"/>
            </w:tcBorders>
            <w:shd w:val="clear" w:color="000000" w:fill="FFFFFF"/>
            <w:noWrap/>
            <w:hideMark/>
          </w:tcPr>
          <w:p w14:paraId="0362423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en la EVA ≥2 respecto al inicio sin aumento de la dosis</w:t>
            </w:r>
          </w:p>
        </w:tc>
      </w:tr>
      <w:tr w:rsidR="002E4D99" w:rsidRPr="00367BEC" w14:paraId="4BBFF6A8" w14:textId="77777777" w:rsidTr="00CF1C1E">
        <w:trPr>
          <w:trHeight w:val="20"/>
        </w:trPr>
        <w:tc>
          <w:tcPr>
            <w:tcW w:w="799" w:type="pct"/>
            <w:tcBorders>
              <w:top w:val="nil"/>
              <w:left w:val="nil"/>
              <w:bottom w:val="nil"/>
              <w:right w:val="nil"/>
            </w:tcBorders>
            <w:shd w:val="clear" w:color="000000" w:fill="FFFFFF"/>
            <w:noWrap/>
            <w:hideMark/>
          </w:tcPr>
          <w:p w14:paraId="799A1023"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201" w:type="pct"/>
            <w:tcBorders>
              <w:top w:val="nil"/>
              <w:left w:val="nil"/>
              <w:bottom w:val="nil"/>
              <w:right w:val="nil"/>
            </w:tcBorders>
            <w:shd w:val="clear" w:color="000000" w:fill="FFFFFF"/>
            <w:noWrap/>
            <w:hideMark/>
          </w:tcPr>
          <w:p w14:paraId="266A014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 Proporción de pacientes con reducción de la dosis ≤25 % sin un aumento en la puntuación en la EVA</w:t>
            </w:r>
          </w:p>
        </w:tc>
      </w:tr>
      <w:tr w:rsidR="002E4D99" w:rsidRPr="00367BEC" w14:paraId="50BE3C99" w14:textId="77777777" w:rsidTr="00CF1C1E">
        <w:trPr>
          <w:trHeight w:val="20"/>
        </w:trPr>
        <w:tc>
          <w:tcPr>
            <w:tcW w:w="799" w:type="pct"/>
            <w:tcBorders>
              <w:top w:val="nil"/>
              <w:left w:val="nil"/>
              <w:bottom w:val="nil"/>
              <w:right w:val="nil"/>
            </w:tcBorders>
            <w:shd w:val="clear" w:color="000000" w:fill="FFFFFF"/>
            <w:noWrap/>
            <w:hideMark/>
          </w:tcPr>
          <w:p w14:paraId="1E665A28"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Ausencia de efecto (%)</w:t>
            </w:r>
          </w:p>
        </w:tc>
        <w:tc>
          <w:tcPr>
            <w:tcW w:w="4201" w:type="pct"/>
            <w:tcBorders>
              <w:top w:val="nil"/>
              <w:left w:val="nil"/>
              <w:bottom w:val="nil"/>
              <w:right w:val="nil"/>
            </w:tcBorders>
            <w:shd w:val="clear" w:color="000000" w:fill="FFFFFF"/>
            <w:hideMark/>
          </w:tcPr>
          <w:p w14:paraId="579D832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aumento de la puntuación en la EVA ≥2 respecto al inicio con una dosis estable</w:t>
            </w:r>
          </w:p>
        </w:tc>
      </w:tr>
      <w:tr w:rsidR="002E4D99" w:rsidRPr="00367BEC" w14:paraId="71ADBBD5" w14:textId="77777777" w:rsidTr="00CF1C1E">
        <w:trPr>
          <w:trHeight w:val="20"/>
        </w:trPr>
        <w:tc>
          <w:tcPr>
            <w:tcW w:w="799" w:type="pct"/>
            <w:tcBorders>
              <w:top w:val="nil"/>
              <w:left w:val="nil"/>
              <w:bottom w:val="nil"/>
              <w:right w:val="nil"/>
            </w:tcBorders>
            <w:shd w:val="clear" w:color="000000" w:fill="FFFFFF"/>
            <w:noWrap/>
            <w:hideMark/>
          </w:tcPr>
          <w:p w14:paraId="2D279EF6"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201" w:type="pct"/>
            <w:tcBorders>
              <w:top w:val="nil"/>
              <w:left w:val="nil"/>
              <w:bottom w:val="nil"/>
              <w:right w:val="nil"/>
            </w:tcBorders>
            <w:shd w:val="clear" w:color="000000" w:fill="FFFFFF"/>
            <w:noWrap/>
            <w:hideMark/>
          </w:tcPr>
          <w:p w14:paraId="640A13F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 Proporción de pacientes con reducción de la dosis ≥25 % con una puntuación EVA estable</w:t>
            </w:r>
          </w:p>
        </w:tc>
      </w:tr>
      <w:tr w:rsidR="002E4D99" w:rsidRPr="00367BEC" w14:paraId="6834BF52" w14:textId="77777777" w:rsidTr="00CF1C1E">
        <w:trPr>
          <w:trHeight w:val="20"/>
        </w:trPr>
        <w:tc>
          <w:tcPr>
            <w:tcW w:w="799" w:type="pct"/>
            <w:tcBorders>
              <w:top w:val="nil"/>
              <w:left w:val="nil"/>
              <w:bottom w:val="nil"/>
              <w:right w:val="nil"/>
            </w:tcBorders>
            <w:shd w:val="clear" w:color="000000" w:fill="FFFFFF"/>
            <w:noWrap/>
            <w:hideMark/>
          </w:tcPr>
          <w:p w14:paraId="310BBBF0"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201" w:type="pct"/>
            <w:tcBorders>
              <w:top w:val="nil"/>
              <w:left w:val="nil"/>
              <w:bottom w:val="nil"/>
              <w:right w:val="nil"/>
            </w:tcBorders>
            <w:shd w:val="clear" w:color="000000" w:fill="FFFFFF"/>
            <w:noWrap/>
            <w:hideMark/>
          </w:tcPr>
          <w:p w14:paraId="2A35ACD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 Proporción de pacientes con reducción de la dosis ≥25 % respecto al inicio con un aumento &gt;1 en la EVA</w:t>
            </w:r>
          </w:p>
        </w:tc>
      </w:tr>
      <w:tr w:rsidR="002E4D99" w:rsidRPr="00367BEC" w14:paraId="420186F3" w14:textId="77777777" w:rsidTr="00CF1C1E">
        <w:trPr>
          <w:trHeight w:val="20"/>
        </w:trPr>
        <w:tc>
          <w:tcPr>
            <w:tcW w:w="799" w:type="pct"/>
            <w:tcBorders>
              <w:top w:val="nil"/>
              <w:left w:val="nil"/>
              <w:bottom w:val="nil"/>
              <w:right w:val="nil"/>
            </w:tcBorders>
            <w:shd w:val="clear" w:color="000000" w:fill="FFFFFF"/>
            <w:noWrap/>
            <w:hideMark/>
          </w:tcPr>
          <w:p w14:paraId="4A9C995C"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≤3 (%)</w:t>
            </w:r>
          </w:p>
        </w:tc>
        <w:tc>
          <w:tcPr>
            <w:tcW w:w="4201" w:type="pct"/>
            <w:tcBorders>
              <w:top w:val="nil"/>
              <w:left w:val="nil"/>
              <w:bottom w:val="nil"/>
              <w:right w:val="nil"/>
            </w:tcBorders>
            <w:shd w:val="clear" w:color="000000" w:fill="FFFFFF"/>
            <w:noWrap/>
            <w:hideMark/>
          </w:tcPr>
          <w:p w14:paraId="74B43FD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puntuación ≤3 en la EVA</w:t>
            </w:r>
          </w:p>
        </w:tc>
      </w:tr>
      <w:tr w:rsidR="002E4D99" w:rsidRPr="00367BEC" w14:paraId="67B4948E" w14:textId="77777777" w:rsidTr="00CF1C1E">
        <w:trPr>
          <w:trHeight w:val="20"/>
        </w:trPr>
        <w:tc>
          <w:tcPr>
            <w:tcW w:w="799" w:type="pct"/>
            <w:tcBorders>
              <w:top w:val="nil"/>
              <w:left w:val="nil"/>
              <w:bottom w:val="nil"/>
              <w:right w:val="nil"/>
            </w:tcBorders>
            <w:shd w:val="clear" w:color="000000" w:fill="FFFFFF"/>
            <w:noWrap/>
            <w:hideMark/>
          </w:tcPr>
          <w:p w14:paraId="4FA2F783"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↓≥2 (%)</w:t>
            </w:r>
          </w:p>
        </w:tc>
        <w:tc>
          <w:tcPr>
            <w:tcW w:w="4201" w:type="pct"/>
            <w:tcBorders>
              <w:top w:val="nil"/>
              <w:left w:val="nil"/>
              <w:bottom w:val="nil"/>
              <w:right w:val="nil"/>
            </w:tcBorders>
            <w:shd w:val="clear" w:color="000000" w:fill="FFFFFF"/>
            <w:noWrap/>
            <w:hideMark/>
          </w:tcPr>
          <w:p w14:paraId="39FE314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en la EVA ≥2 respecto al inicio</w:t>
            </w:r>
          </w:p>
        </w:tc>
      </w:tr>
      <w:tr w:rsidR="002E4D99" w:rsidRPr="00367BEC" w14:paraId="4C2AF40B" w14:textId="77777777" w:rsidTr="00CF1C1E">
        <w:trPr>
          <w:trHeight w:val="20"/>
        </w:trPr>
        <w:tc>
          <w:tcPr>
            <w:tcW w:w="799" w:type="pct"/>
            <w:tcBorders>
              <w:top w:val="nil"/>
              <w:left w:val="nil"/>
              <w:bottom w:val="nil"/>
              <w:right w:val="nil"/>
            </w:tcBorders>
            <w:shd w:val="clear" w:color="000000" w:fill="FFFFFF"/>
            <w:noWrap/>
            <w:hideMark/>
          </w:tcPr>
          <w:p w14:paraId="15B3F4CA"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↓≥3 (%)</w:t>
            </w:r>
          </w:p>
        </w:tc>
        <w:tc>
          <w:tcPr>
            <w:tcW w:w="4201" w:type="pct"/>
            <w:tcBorders>
              <w:top w:val="nil"/>
              <w:left w:val="nil"/>
              <w:bottom w:val="nil"/>
              <w:right w:val="nil"/>
            </w:tcBorders>
            <w:shd w:val="clear" w:color="000000" w:fill="FFFFFF"/>
            <w:noWrap/>
            <w:hideMark/>
          </w:tcPr>
          <w:p w14:paraId="33C29DC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en la EVA ≥3 respecto al inicio</w:t>
            </w:r>
          </w:p>
        </w:tc>
      </w:tr>
      <w:tr w:rsidR="002E4D99" w:rsidRPr="00367BEC" w14:paraId="285CFABD" w14:textId="77777777" w:rsidTr="00CF1C1E">
        <w:trPr>
          <w:trHeight w:val="20"/>
        </w:trPr>
        <w:tc>
          <w:tcPr>
            <w:tcW w:w="799" w:type="pct"/>
            <w:tcBorders>
              <w:top w:val="nil"/>
              <w:left w:val="nil"/>
              <w:bottom w:val="single" w:sz="4" w:space="0" w:color="auto"/>
              <w:right w:val="nil"/>
            </w:tcBorders>
            <w:shd w:val="clear" w:color="000000" w:fill="FFFFFF"/>
            <w:noWrap/>
            <w:hideMark/>
          </w:tcPr>
          <w:p w14:paraId="26E1184C"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↓≥4 (%)</w:t>
            </w:r>
          </w:p>
        </w:tc>
        <w:tc>
          <w:tcPr>
            <w:tcW w:w="4201" w:type="pct"/>
            <w:tcBorders>
              <w:top w:val="nil"/>
              <w:left w:val="nil"/>
              <w:bottom w:val="single" w:sz="4" w:space="0" w:color="auto"/>
              <w:right w:val="nil"/>
            </w:tcBorders>
            <w:shd w:val="clear" w:color="000000" w:fill="FFFFFF"/>
            <w:noWrap/>
            <w:hideMark/>
          </w:tcPr>
          <w:p w14:paraId="246DEE5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en la EVA ≥4 respecto al inicio</w:t>
            </w:r>
          </w:p>
        </w:tc>
      </w:tr>
      <w:tr w:rsidR="002E4D99" w:rsidRPr="00367BEC" w14:paraId="560B0A87" w14:textId="77777777" w:rsidTr="00CF1C1E">
        <w:trPr>
          <w:trHeight w:val="20"/>
        </w:trPr>
        <w:tc>
          <w:tcPr>
            <w:tcW w:w="799" w:type="pct"/>
            <w:tcBorders>
              <w:top w:val="nil"/>
              <w:left w:val="nil"/>
              <w:bottom w:val="nil"/>
              <w:right w:val="nil"/>
            </w:tcBorders>
            <w:shd w:val="clear" w:color="000000" w:fill="FFFFFF"/>
            <w:hideMark/>
          </w:tcPr>
          <w:p w14:paraId="120BDF8F" w14:textId="207167C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IILUM EVA</w:t>
            </w:r>
            <w:r w:rsidR="00537209">
              <w:rPr>
                <w:rFonts w:ascii="Times New Roman" w:hAnsi="Times New Roman"/>
                <w:b/>
                <w:color w:val="000000"/>
                <w:sz w:val="20"/>
              </w:rPr>
              <w:t>-100</w:t>
            </w:r>
          </w:p>
        </w:tc>
        <w:tc>
          <w:tcPr>
            <w:tcW w:w="4201" w:type="pct"/>
            <w:tcBorders>
              <w:top w:val="nil"/>
              <w:left w:val="nil"/>
              <w:bottom w:val="nil"/>
              <w:right w:val="nil"/>
            </w:tcBorders>
            <w:shd w:val="clear" w:color="000000" w:fill="FFFFFF"/>
            <w:hideMark/>
          </w:tcPr>
          <w:p w14:paraId="6C8C1B9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Media aritmética del Índice de Intensidad de la Lumbalgia para la intensidad de la lumbalgia durante 24 horas más baja, promedio y más elevada en una escala visual analógica de 100 mm, de 0 = «sin dolor» a 100 = «peor dolor imaginable»</w:t>
            </w:r>
          </w:p>
        </w:tc>
      </w:tr>
      <w:tr w:rsidR="002E4D99" w:rsidRPr="00367BEC" w14:paraId="0F62A126" w14:textId="77777777" w:rsidTr="00CF1C1E">
        <w:trPr>
          <w:trHeight w:val="20"/>
        </w:trPr>
        <w:tc>
          <w:tcPr>
            <w:tcW w:w="799" w:type="pct"/>
            <w:tcBorders>
              <w:top w:val="nil"/>
              <w:left w:val="nil"/>
              <w:bottom w:val="nil"/>
              <w:right w:val="nil"/>
            </w:tcBorders>
            <w:shd w:val="clear" w:color="000000" w:fill="FFFFFF"/>
            <w:noWrap/>
            <w:vAlign w:val="bottom"/>
            <w:hideMark/>
          </w:tcPr>
          <w:p w14:paraId="009FD05D"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4201" w:type="pct"/>
            <w:tcBorders>
              <w:top w:val="nil"/>
              <w:left w:val="nil"/>
              <w:bottom w:val="nil"/>
              <w:right w:val="nil"/>
            </w:tcBorders>
            <w:shd w:val="clear" w:color="000000" w:fill="FFFFFF"/>
            <w:noWrap/>
            <w:vAlign w:val="bottom"/>
            <w:hideMark/>
          </w:tcPr>
          <w:p w14:paraId="0E0921C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322B96AD" w14:textId="77777777" w:rsidTr="00CF1C1E">
        <w:trPr>
          <w:trHeight w:val="20"/>
        </w:trPr>
        <w:tc>
          <w:tcPr>
            <w:tcW w:w="799" w:type="pct"/>
            <w:tcBorders>
              <w:top w:val="nil"/>
              <w:left w:val="nil"/>
              <w:bottom w:val="nil"/>
              <w:right w:val="nil"/>
            </w:tcBorders>
            <w:shd w:val="clear" w:color="000000" w:fill="FFFFFF"/>
            <w:noWrap/>
            <w:hideMark/>
          </w:tcPr>
          <w:p w14:paraId="55CCEE75"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≤30 (%)</w:t>
            </w:r>
          </w:p>
        </w:tc>
        <w:tc>
          <w:tcPr>
            <w:tcW w:w="4201" w:type="pct"/>
            <w:tcBorders>
              <w:top w:val="nil"/>
              <w:left w:val="nil"/>
              <w:bottom w:val="nil"/>
              <w:right w:val="nil"/>
            </w:tcBorders>
            <w:shd w:val="clear" w:color="000000" w:fill="FFFFFF"/>
            <w:noWrap/>
            <w:hideMark/>
          </w:tcPr>
          <w:p w14:paraId="31E4D0D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puntuación ≤30 en la EVA</w:t>
            </w:r>
          </w:p>
        </w:tc>
      </w:tr>
      <w:tr w:rsidR="002E4D99" w:rsidRPr="00367BEC" w14:paraId="0DB5F210" w14:textId="77777777" w:rsidTr="00CF1C1E">
        <w:trPr>
          <w:trHeight w:val="20"/>
        </w:trPr>
        <w:tc>
          <w:tcPr>
            <w:tcW w:w="799" w:type="pct"/>
            <w:tcBorders>
              <w:top w:val="nil"/>
              <w:left w:val="nil"/>
              <w:bottom w:val="nil"/>
              <w:right w:val="nil"/>
            </w:tcBorders>
            <w:shd w:val="clear" w:color="000000" w:fill="FFFFFF"/>
            <w:noWrap/>
            <w:hideMark/>
          </w:tcPr>
          <w:p w14:paraId="4D403FE4"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≤OTP (%)</w:t>
            </w:r>
          </w:p>
        </w:tc>
        <w:tc>
          <w:tcPr>
            <w:tcW w:w="4201" w:type="pct"/>
            <w:tcBorders>
              <w:top w:val="nil"/>
              <w:left w:val="nil"/>
              <w:bottom w:val="nil"/>
              <w:right w:val="nil"/>
            </w:tcBorders>
            <w:shd w:val="clear" w:color="000000" w:fill="FFFFFF"/>
            <w:noWrap/>
            <w:hideMark/>
          </w:tcPr>
          <w:p w14:paraId="34DFEDE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que alcanzaron su objetivo terapéutico personalizado (OTP) en la EVA</w:t>
            </w:r>
          </w:p>
        </w:tc>
      </w:tr>
      <w:tr w:rsidR="002E4D99" w:rsidRPr="00367BEC" w14:paraId="5A5C11EE" w14:textId="77777777" w:rsidTr="00CF1C1E">
        <w:trPr>
          <w:trHeight w:val="20"/>
        </w:trPr>
        <w:tc>
          <w:tcPr>
            <w:tcW w:w="799" w:type="pct"/>
            <w:tcBorders>
              <w:top w:val="nil"/>
              <w:left w:val="nil"/>
              <w:bottom w:val="single" w:sz="4" w:space="0" w:color="auto"/>
              <w:right w:val="nil"/>
            </w:tcBorders>
            <w:shd w:val="clear" w:color="000000" w:fill="FFFFFF"/>
            <w:noWrap/>
            <w:hideMark/>
          </w:tcPr>
          <w:p w14:paraId="18140610"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↓≥30 % (%)</w:t>
            </w:r>
          </w:p>
        </w:tc>
        <w:tc>
          <w:tcPr>
            <w:tcW w:w="4201" w:type="pct"/>
            <w:tcBorders>
              <w:top w:val="nil"/>
              <w:left w:val="nil"/>
              <w:bottom w:val="single" w:sz="4" w:space="0" w:color="auto"/>
              <w:right w:val="nil"/>
            </w:tcBorders>
            <w:shd w:val="clear" w:color="000000" w:fill="FFFFFF"/>
            <w:noWrap/>
            <w:hideMark/>
          </w:tcPr>
          <w:p w14:paraId="53395AC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en la EVA ≥30 % respecto al inicio</w:t>
            </w:r>
          </w:p>
        </w:tc>
      </w:tr>
    </w:tbl>
    <w:p w14:paraId="1928B38D" w14:textId="77777777" w:rsidR="002E4D99" w:rsidRPr="00367BEC" w:rsidRDefault="002E4D99" w:rsidP="002E4D99">
      <w:pPr>
        <w:rPr>
          <w:rFonts w:ascii="Times New Roman" w:hAnsi="Times New Roman" w:cs="Times New Roman"/>
          <w:b/>
          <w:bCs/>
          <w:iCs/>
          <w:sz w:val="24"/>
          <w:szCs w:val="24"/>
        </w:rPr>
      </w:pPr>
    </w:p>
    <w:p w14:paraId="497CE4C4" w14:textId="77777777" w:rsidR="002E4D99" w:rsidRPr="00367BEC" w:rsidRDefault="002E4D99" w:rsidP="002E4D99">
      <w:pPr>
        <w:rPr>
          <w:rFonts w:ascii="Times New Roman" w:hAnsi="Times New Roman" w:cs="Times New Roman"/>
          <w:b/>
          <w:bCs/>
          <w:iCs/>
          <w:sz w:val="24"/>
          <w:szCs w:val="24"/>
        </w:rPr>
      </w:pPr>
      <w:r w:rsidRPr="00367BEC">
        <w:br w:type="page"/>
      </w:r>
    </w:p>
    <w:p w14:paraId="5761040D"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5. </w:t>
      </w:r>
      <w:r w:rsidRPr="00367BEC">
        <w:rPr>
          <w:rFonts w:ascii="Times New Roman" w:hAnsi="Times New Roman"/>
        </w:rPr>
        <w:t>Resultados de intensidad del dolor en cada estudio</w:t>
      </w:r>
    </w:p>
    <w:p w14:paraId="3FE54030"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5000" w:type="pct"/>
        <w:tblCellMar>
          <w:left w:w="28" w:type="dxa"/>
          <w:right w:w="28" w:type="dxa"/>
        </w:tblCellMar>
        <w:tblLook w:val="04A0" w:firstRow="1" w:lastRow="0" w:firstColumn="1" w:lastColumn="0" w:noHBand="0" w:noVBand="1"/>
      </w:tblPr>
      <w:tblGrid>
        <w:gridCol w:w="1474"/>
        <w:gridCol w:w="1358"/>
        <w:gridCol w:w="2513"/>
        <w:gridCol w:w="411"/>
        <w:gridCol w:w="1051"/>
        <w:gridCol w:w="405"/>
        <w:gridCol w:w="785"/>
        <w:gridCol w:w="1537"/>
        <w:gridCol w:w="1807"/>
      </w:tblGrid>
      <w:tr w:rsidR="002E4D99" w:rsidRPr="00367BEC" w14:paraId="73F161FF" w14:textId="77777777" w:rsidTr="00CF1C1E">
        <w:trPr>
          <w:trHeight w:val="283"/>
        </w:trPr>
        <w:tc>
          <w:tcPr>
            <w:tcW w:w="674" w:type="pct"/>
            <w:tcBorders>
              <w:top w:val="nil"/>
              <w:left w:val="nil"/>
              <w:bottom w:val="single" w:sz="8" w:space="0" w:color="auto"/>
              <w:right w:val="nil"/>
            </w:tcBorders>
            <w:shd w:val="clear" w:color="000000" w:fill="FFFFFF"/>
            <w:noWrap/>
            <w:vAlign w:val="center"/>
            <w:hideMark/>
          </w:tcPr>
          <w:p w14:paraId="58DC46A1" w14:textId="77777777" w:rsidR="002E4D99" w:rsidRPr="00367BEC" w:rsidRDefault="002E4D99" w:rsidP="00CF1C1E">
            <w:pPr>
              <w:spacing w:after="0" w:line="240" w:lineRule="auto"/>
              <w:rPr>
                <w:rFonts w:ascii="Times New Roman" w:eastAsia="Times New Roman" w:hAnsi="Times New Roman" w:cs="Times New Roman"/>
                <w:b/>
                <w:bCs/>
                <w:sz w:val="16"/>
                <w:szCs w:val="16"/>
              </w:rPr>
            </w:pPr>
            <w:bookmarkStart w:id="9" w:name="RANGE!A1"/>
            <w:r w:rsidRPr="00367BEC">
              <w:rPr>
                <w:rFonts w:ascii="Times New Roman" w:hAnsi="Times New Roman"/>
                <w:b/>
                <w:sz w:val="16"/>
              </w:rPr>
              <w:t>Referencia</w:t>
            </w:r>
            <w:bookmarkEnd w:id="9"/>
          </w:p>
        </w:tc>
        <w:tc>
          <w:tcPr>
            <w:tcW w:w="623" w:type="pct"/>
            <w:tcBorders>
              <w:top w:val="nil"/>
              <w:left w:val="nil"/>
              <w:bottom w:val="single" w:sz="8" w:space="0" w:color="auto"/>
              <w:right w:val="nil"/>
            </w:tcBorders>
            <w:shd w:val="clear" w:color="000000" w:fill="FFFFFF"/>
            <w:noWrap/>
            <w:vAlign w:val="center"/>
            <w:hideMark/>
          </w:tcPr>
          <w:p w14:paraId="158E7C7C"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Cohorte</w:t>
            </w:r>
          </w:p>
        </w:tc>
        <w:tc>
          <w:tcPr>
            <w:tcW w:w="1132" w:type="pct"/>
            <w:tcBorders>
              <w:top w:val="nil"/>
              <w:left w:val="nil"/>
              <w:bottom w:val="single" w:sz="8" w:space="0" w:color="auto"/>
              <w:right w:val="nil"/>
            </w:tcBorders>
            <w:shd w:val="clear" w:color="000000" w:fill="FFFFFF"/>
            <w:noWrap/>
            <w:vAlign w:val="center"/>
            <w:hideMark/>
          </w:tcPr>
          <w:p w14:paraId="164A6D67"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Prueba</w:t>
            </w:r>
          </w:p>
        </w:tc>
        <w:tc>
          <w:tcPr>
            <w:tcW w:w="574" w:type="pct"/>
            <w:gridSpan w:val="2"/>
            <w:tcBorders>
              <w:top w:val="nil"/>
              <w:left w:val="nil"/>
              <w:bottom w:val="single" w:sz="8" w:space="0" w:color="auto"/>
              <w:right w:val="nil"/>
            </w:tcBorders>
            <w:shd w:val="clear" w:color="000000" w:fill="FFFFFF"/>
            <w:noWrap/>
            <w:vAlign w:val="center"/>
            <w:hideMark/>
          </w:tcPr>
          <w:p w14:paraId="4053BF6A"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Puntuación inicial</w:t>
            </w:r>
          </w:p>
        </w:tc>
        <w:tc>
          <w:tcPr>
            <w:tcW w:w="474" w:type="pct"/>
            <w:gridSpan w:val="2"/>
            <w:tcBorders>
              <w:top w:val="nil"/>
              <w:left w:val="nil"/>
              <w:bottom w:val="single" w:sz="8" w:space="0" w:color="auto"/>
              <w:right w:val="nil"/>
            </w:tcBorders>
            <w:shd w:val="clear" w:color="000000" w:fill="FFFFFF"/>
            <w:noWrap/>
            <w:vAlign w:val="center"/>
            <w:hideMark/>
          </w:tcPr>
          <w:p w14:paraId="67E32BC8"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Puntuación final</w:t>
            </w:r>
          </w:p>
        </w:tc>
        <w:tc>
          <w:tcPr>
            <w:tcW w:w="702" w:type="pct"/>
            <w:tcBorders>
              <w:top w:val="nil"/>
              <w:left w:val="nil"/>
              <w:bottom w:val="single" w:sz="8" w:space="0" w:color="auto"/>
              <w:right w:val="nil"/>
            </w:tcBorders>
            <w:shd w:val="clear" w:color="000000" w:fill="FFFFFF"/>
            <w:vAlign w:val="center"/>
            <w:hideMark/>
          </w:tcPr>
          <w:p w14:paraId="1113958A"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 xml:space="preserve">Δ </w:t>
            </w:r>
            <w:r w:rsidRPr="00367BEC">
              <w:rPr>
                <w:rFonts w:ascii="Times New Roman" w:hAnsi="Times New Roman"/>
                <w:b/>
                <w:sz w:val="20"/>
              </w:rPr>
              <w:t>absoluto</w:t>
            </w:r>
          </w:p>
        </w:tc>
        <w:tc>
          <w:tcPr>
            <w:tcW w:w="821" w:type="pct"/>
            <w:tcBorders>
              <w:top w:val="nil"/>
              <w:left w:val="nil"/>
              <w:bottom w:val="single" w:sz="8" w:space="0" w:color="auto"/>
              <w:right w:val="nil"/>
            </w:tcBorders>
            <w:shd w:val="clear" w:color="000000" w:fill="FFFFFF"/>
            <w:vAlign w:val="center"/>
            <w:hideMark/>
          </w:tcPr>
          <w:p w14:paraId="375C889B"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 xml:space="preserve">Δ </w:t>
            </w:r>
            <w:r w:rsidRPr="00367BEC">
              <w:rPr>
                <w:rFonts w:ascii="Times New Roman" w:hAnsi="Times New Roman"/>
                <w:b/>
                <w:sz w:val="20"/>
              </w:rPr>
              <w:t>relativo</w:t>
            </w:r>
            <w:r w:rsidRPr="00367BEC">
              <w:rPr>
                <w:rFonts w:ascii="Times New Roman" w:hAnsi="Times New Roman"/>
                <w:b/>
                <w:sz w:val="16"/>
              </w:rPr>
              <w:t xml:space="preserve"> (%)</w:t>
            </w:r>
          </w:p>
        </w:tc>
      </w:tr>
      <w:tr w:rsidR="002E4D99" w:rsidRPr="00367BEC" w14:paraId="38B865C3" w14:textId="77777777" w:rsidTr="00CF1C1E">
        <w:trPr>
          <w:trHeight w:val="20"/>
        </w:trPr>
        <w:tc>
          <w:tcPr>
            <w:tcW w:w="674" w:type="pct"/>
            <w:tcBorders>
              <w:top w:val="nil"/>
              <w:left w:val="nil"/>
              <w:bottom w:val="nil"/>
              <w:right w:val="nil"/>
            </w:tcBorders>
            <w:shd w:val="clear" w:color="000000" w:fill="FFFFFF"/>
            <w:noWrap/>
            <w:hideMark/>
          </w:tcPr>
          <w:p w14:paraId="0E495C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Finco 2018</w:t>
            </w:r>
          </w:p>
        </w:tc>
        <w:tc>
          <w:tcPr>
            <w:tcW w:w="623" w:type="pct"/>
            <w:tcBorders>
              <w:top w:val="nil"/>
              <w:left w:val="nil"/>
              <w:bottom w:val="single" w:sz="8" w:space="0" w:color="auto"/>
              <w:right w:val="nil"/>
            </w:tcBorders>
            <w:shd w:val="clear" w:color="000000" w:fill="FFFFFF"/>
            <w:noWrap/>
            <w:hideMark/>
          </w:tcPr>
          <w:p w14:paraId="2F72B8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nil"/>
              <w:left w:val="nil"/>
              <w:bottom w:val="nil"/>
              <w:right w:val="nil"/>
            </w:tcBorders>
            <w:shd w:val="clear" w:color="000000" w:fill="FFFFFF"/>
            <w:noWrap/>
            <w:hideMark/>
          </w:tcPr>
          <w:p w14:paraId="5F2DE172" w14:textId="587498F0"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w:t>
            </w:r>
            <w:r w:rsidR="00537209" w:rsidRPr="00367BEC">
              <w:rPr>
                <w:rFonts w:ascii="Times New Roman" w:hAnsi="Times New Roman"/>
                <w:color w:val="000000"/>
                <w:sz w:val="16"/>
              </w:rPr>
              <w:t>11</w:t>
            </w:r>
            <w:r w:rsidR="00537209">
              <w:rPr>
                <w:rFonts w:ascii="Times New Roman" w:hAnsi="Times New Roman"/>
                <w:color w:val="000000"/>
                <w:sz w:val="16"/>
              </w:rPr>
              <w:t>-</w:t>
            </w:r>
            <w:r w:rsidRPr="00367BEC">
              <w:rPr>
                <w:rFonts w:ascii="Times New Roman" w:hAnsi="Times New Roman"/>
                <w:color w:val="000000"/>
                <w:sz w:val="16"/>
              </w:rPr>
              <w:t xml:space="preserve">3d </w:t>
            </w:r>
          </w:p>
        </w:tc>
        <w:tc>
          <w:tcPr>
            <w:tcW w:w="161" w:type="pct"/>
            <w:tcBorders>
              <w:top w:val="nil"/>
              <w:left w:val="nil"/>
              <w:bottom w:val="nil"/>
              <w:right w:val="nil"/>
            </w:tcBorders>
            <w:shd w:val="clear" w:color="000000" w:fill="FFFFFF"/>
            <w:noWrap/>
            <w:hideMark/>
          </w:tcPr>
          <w:p w14:paraId="7E2EC1D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8,7</w:t>
            </w:r>
          </w:p>
        </w:tc>
        <w:tc>
          <w:tcPr>
            <w:tcW w:w="413" w:type="pct"/>
            <w:tcBorders>
              <w:top w:val="nil"/>
              <w:left w:val="nil"/>
              <w:bottom w:val="single" w:sz="8" w:space="0" w:color="auto"/>
              <w:right w:val="nil"/>
            </w:tcBorders>
            <w:shd w:val="clear" w:color="000000" w:fill="FFFFFF"/>
            <w:noWrap/>
            <w:hideMark/>
          </w:tcPr>
          <w:p w14:paraId="62CEE60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w:t>
            </w:r>
          </w:p>
        </w:tc>
        <w:tc>
          <w:tcPr>
            <w:tcW w:w="161" w:type="pct"/>
            <w:tcBorders>
              <w:top w:val="nil"/>
              <w:left w:val="nil"/>
              <w:bottom w:val="nil"/>
              <w:right w:val="nil"/>
            </w:tcBorders>
            <w:shd w:val="clear" w:color="000000" w:fill="FFFFFF"/>
            <w:noWrap/>
            <w:hideMark/>
          </w:tcPr>
          <w:p w14:paraId="365BE99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1,7</w:t>
            </w:r>
          </w:p>
        </w:tc>
        <w:tc>
          <w:tcPr>
            <w:tcW w:w="313" w:type="pct"/>
            <w:tcBorders>
              <w:top w:val="nil"/>
              <w:left w:val="nil"/>
              <w:bottom w:val="single" w:sz="8" w:space="0" w:color="auto"/>
              <w:right w:val="nil"/>
            </w:tcBorders>
            <w:shd w:val="clear" w:color="000000" w:fill="FFFFFF"/>
            <w:noWrap/>
            <w:hideMark/>
          </w:tcPr>
          <w:p w14:paraId="7F1C5B0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w:t>
            </w:r>
          </w:p>
        </w:tc>
        <w:tc>
          <w:tcPr>
            <w:tcW w:w="702" w:type="pct"/>
            <w:tcBorders>
              <w:top w:val="nil"/>
              <w:left w:val="nil"/>
              <w:bottom w:val="nil"/>
              <w:right w:val="nil"/>
            </w:tcBorders>
            <w:shd w:val="clear" w:color="000000" w:fill="FFFFFF"/>
            <w:noWrap/>
            <w:hideMark/>
          </w:tcPr>
          <w:p w14:paraId="7DDC34D0"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−7,0</w:t>
            </w:r>
          </w:p>
        </w:tc>
        <w:tc>
          <w:tcPr>
            <w:tcW w:w="821" w:type="pct"/>
            <w:tcBorders>
              <w:top w:val="nil"/>
              <w:left w:val="nil"/>
              <w:bottom w:val="nil"/>
              <w:right w:val="nil"/>
            </w:tcBorders>
            <w:shd w:val="clear" w:color="000000" w:fill="FFFFFF"/>
            <w:noWrap/>
            <w:hideMark/>
          </w:tcPr>
          <w:p w14:paraId="03E30EB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-80,5</w:t>
            </w:r>
            <w:r w:rsidRPr="00367BEC">
              <w:rPr>
                <w:rFonts w:ascii="Times New Roman" w:hAnsi="Times New Roman"/>
                <w:b/>
                <w:color w:val="000000"/>
                <w:sz w:val="16"/>
                <w:vertAlign w:val="superscript"/>
              </w:rPr>
              <w:t>iii</w:t>
            </w:r>
          </w:p>
        </w:tc>
      </w:tr>
      <w:tr w:rsidR="002E4D99" w:rsidRPr="00367BEC" w14:paraId="5D251D72" w14:textId="77777777" w:rsidTr="00CF1C1E">
        <w:trPr>
          <w:trHeight w:val="20"/>
        </w:trPr>
        <w:tc>
          <w:tcPr>
            <w:tcW w:w="674" w:type="pct"/>
            <w:tcBorders>
              <w:top w:val="single" w:sz="8" w:space="0" w:color="auto"/>
              <w:left w:val="nil"/>
              <w:bottom w:val="nil"/>
              <w:right w:val="nil"/>
            </w:tcBorders>
            <w:shd w:val="clear" w:color="000000" w:fill="FFFFFF"/>
            <w:noWrap/>
            <w:hideMark/>
          </w:tcPr>
          <w:p w14:paraId="1524B7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Billeci</w:t>
            </w:r>
            <w:proofErr w:type="spellEnd"/>
            <w:r w:rsidRPr="00367BEC">
              <w:rPr>
                <w:rFonts w:ascii="Times New Roman" w:hAnsi="Times New Roman"/>
                <w:color w:val="000000"/>
                <w:sz w:val="16"/>
              </w:rPr>
              <w:t xml:space="preserve"> 2017</w:t>
            </w:r>
          </w:p>
        </w:tc>
        <w:tc>
          <w:tcPr>
            <w:tcW w:w="623" w:type="pct"/>
            <w:tcBorders>
              <w:top w:val="nil"/>
              <w:left w:val="nil"/>
              <w:bottom w:val="nil"/>
              <w:right w:val="nil"/>
            </w:tcBorders>
            <w:shd w:val="clear" w:color="000000" w:fill="FFFFFF"/>
            <w:noWrap/>
            <w:hideMark/>
          </w:tcPr>
          <w:p w14:paraId="3C93B1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single" w:sz="8" w:space="0" w:color="auto"/>
              <w:left w:val="nil"/>
              <w:bottom w:val="nil"/>
              <w:right w:val="nil"/>
            </w:tcBorders>
            <w:shd w:val="clear" w:color="000000" w:fill="FFFFFF"/>
            <w:noWrap/>
            <w:hideMark/>
          </w:tcPr>
          <w:p w14:paraId="090C92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 Reposo</w:t>
            </w:r>
          </w:p>
        </w:tc>
        <w:tc>
          <w:tcPr>
            <w:tcW w:w="161" w:type="pct"/>
            <w:tcBorders>
              <w:top w:val="single" w:sz="8" w:space="0" w:color="auto"/>
              <w:left w:val="nil"/>
              <w:bottom w:val="nil"/>
              <w:right w:val="nil"/>
            </w:tcBorders>
            <w:shd w:val="clear" w:color="000000" w:fill="FFFFFF"/>
            <w:noWrap/>
            <w:hideMark/>
          </w:tcPr>
          <w:p w14:paraId="4266AC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w:t>
            </w:r>
          </w:p>
        </w:tc>
        <w:tc>
          <w:tcPr>
            <w:tcW w:w="413" w:type="pct"/>
            <w:tcBorders>
              <w:top w:val="nil"/>
              <w:left w:val="nil"/>
              <w:bottom w:val="nil"/>
              <w:right w:val="nil"/>
            </w:tcBorders>
            <w:shd w:val="clear" w:color="000000" w:fill="FFFFFF"/>
            <w:noWrap/>
            <w:hideMark/>
          </w:tcPr>
          <w:p w14:paraId="77E6932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w:t>
            </w:r>
          </w:p>
        </w:tc>
        <w:tc>
          <w:tcPr>
            <w:tcW w:w="161" w:type="pct"/>
            <w:tcBorders>
              <w:top w:val="single" w:sz="8" w:space="0" w:color="auto"/>
              <w:left w:val="nil"/>
              <w:bottom w:val="nil"/>
              <w:right w:val="nil"/>
            </w:tcBorders>
            <w:shd w:val="clear" w:color="000000" w:fill="FFFFFF"/>
            <w:noWrap/>
            <w:hideMark/>
          </w:tcPr>
          <w:p w14:paraId="63A73FB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1,7</w:t>
            </w:r>
          </w:p>
        </w:tc>
        <w:tc>
          <w:tcPr>
            <w:tcW w:w="313" w:type="pct"/>
            <w:tcBorders>
              <w:top w:val="nil"/>
              <w:left w:val="nil"/>
              <w:bottom w:val="nil"/>
              <w:right w:val="nil"/>
            </w:tcBorders>
            <w:shd w:val="clear" w:color="000000" w:fill="FFFFFF"/>
            <w:noWrap/>
            <w:hideMark/>
          </w:tcPr>
          <w:p w14:paraId="22442A8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single" w:sz="8" w:space="0" w:color="auto"/>
              <w:left w:val="nil"/>
              <w:bottom w:val="nil"/>
              <w:right w:val="nil"/>
            </w:tcBorders>
            <w:shd w:val="clear" w:color="000000" w:fill="FFFFFF"/>
            <w:noWrap/>
            <w:hideMark/>
          </w:tcPr>
          <w:p w14:paraId="2C1FFE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−5,1</w:t>
            </w:r>
          </w:p>
        </w:tc>
        <w:tc>
          <w:tcPr>
            <w:tcW w:w="821" w:type="pct"/>
            <w:tcBorders>
              <w:top w:val="single" w:sz="8" w:space="0" w:color="auto"/>
              <w:left w:val="nil"/>
              <w:bottom w:val="nil"/>
              <w:right w:val="nil"/>
            </w:tcBorders>
            <w:shd w:val="clear" w:color="000000" w:fill="FFFFFF"/>
            <w:noWrap/>
            <w:hideMark/>
          </w:tcPr>
          <w:p w14:paraId="626F268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−75,0</w:t>
            </w:r>
            <w:r w:rsidRPr="00367BEC">
              <w:rPr>
                <w:rFonts w:ascii="Times New Roman" w:hAnsi="Times New Roman"/>
                <w:b/>
                <w:color w:val="000000"/>
                <w:sz w:val="16"/>
                <w:vertAlign w:val="superscript"/>
              </w:rPr>
              <w:t>ii</w:t>
            </w:r>
          </w:p>
        </w:tc>
      </w:tr>
      <w:tr w:rsidR="002E4D99" w:rsidRPr="00367BEC" w14:paraId="64541631" w14:textId="77777777" w:rsidTr="00CF1C1E">
        <w:trPr>
          <w:trHeight w:val="20"/>
        </w:trPr>
        <w:tc>
          <w:tcPr>
            <w:tcW w:w="674" w:type="pct"/>
            <w:tcBorders>
              <w:top w:val="nil"/>
              <w:left w:val="nil"/>
              <w:bottom w:val="nil"/>
              <w:right w:val="nil"/>
            </w:tcBorders>
            <w:shd w:val="clear" w:color="000000" w:fill="FFFFFF"/>
            <w:noWrap/>
            <w:hideMark/>
          </w:tcPr>
          <w:p w14:paraId="73E77E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single" w:sz="8" w:space="0" w:color="auto"/>
              <w:right w:val="nil"/>
            </w:tcBorders>
            <w:shd w:val="clear" w:color="000000" w:fill="FFFFFF"/>
            <w:noWrap/>
            <w:hideMark/>
          </w:tcPr>
          <w:p w14:paraId="12EE9C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66F3B3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 Movimiento</w:t>
            </w:r>
          </w:p>
        </w:tc>
        <w:tc>
          <w:tcPr>
            <w:tcW w:w="161" w:type="pct"/>
            <w:tcBorders>
              <w:top w:val="nil"/>
              <w:left w:val="nil"/>
              <w:bottom w:val="single" w:sz="8" w:space="0" w:color="auto"/>
              <w:right w:val="nil"/>
            </w:tcBorders>
            <w:shd w:val="clear" w:color="000000" w:fill="FFFFFF"/>
            <w:noWrap/>
            <w:hideMark/>
          </w:tcPr>
          <w:p w14:paraId="2E486D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8,8</w:t>
            </w:r>
          </w:p>
        </w:tc>
        <w:tc>
          <w:tcPr>
            <w:tcW w:w="413" w:type="pct"/>
            <w:tcBorders>
              <w:top w:val="nil"/>
              <w:left w:val="nil"/>
              <w:bottom w:val="single" w:sz="8" w:space="0" w:color="auto"/>
              <w:right w:val="nil"/>
            </w:tcBorders>
            <w:shd w:val="clear" w:color="000000" w:fill="FFFFFF"/>
            <w:noWrap/>
            <w:hideMark/>
          </w:tcPr>
          <w:p w14:paraId="2BA321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p>
        </w:tc>
        <w:tc>
          <w:tcPr>
            <w:tcW w:w="161" w:type="pct"/>
            <w:tcBorders>
              <w:top w:val="nil"/>
              <w:left w:val="nil"/>
              <w:bottom w:val="single" w:sz="8" w:space="0" w:color="auto"/>
              <w:right w:val="nil"/>
            </w:tcBorders>
            <w:shd w:val="clear" w:color="000000" w:fill="FFFFFF"/>
            <w:noWrap/>
            <w:hideMark/>
          </w:tcPr>
          <w:p w14:paraId="2C4A99B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2,9</w:t>
            </w:r>
          </w:p>
        </w:tc>
        <w:tc>
          <w:tcPr>
            <w:tcW w:w="313" w:type="pct"/>
            <w:tcBorders>
              <w:top w:val="nil"/>
              <w:left w:val="nil"/>
              <w:bottom w:val="single" w:sz="8" w:space="0" w:color="auto"/>
              <w:right w:val="nil"/>
            </w:tcBorders>
            <w:shd w:val="clear" w:color="000000" w:fill="FFFFFF"/>
            <w:noWrap/>
            <w:hideMark/>
          </w:tcPr>
          <w:p w14:paraId="44F852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single" w:sz="8" w:space="0" w:color="auto"/>
              <w:right w:val="nil"/>
            </w:tcBorders>
            <w:shd w:val="clear" w:color="000000" w:fill="FFFFFF"/>
            <w:noWrap/>
            <w:hideMark/>
          </w:tcPr>
          <w:p w14:paraId="057A5D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−5,9</w:t>
            </w:r>
          </w:p>
        </w:tc>
        <w:tc>
          <w:tcPr>
            <w:tcW w:w="821" w:type="pct"/>
            <w:tcBorders>
              <w:top w:val="nil"/>
              <w:left w:val="nil"/>
              <w:bottom w:val="single" w:sz="8" w:space="0" w:color="auto"/>
              <w:right w:val="nil"/>
            </w:tcBorders>
            <w:shd w:val="clear" w:color="000000" w:fill="FFFFFF"/>
            <w:noWrap/>
            <w:hideMark/>
          </w:tcPr>
          <w:p w14:paraId="425224A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-67,0</w:t>
            </w:r>
            <w:r w:rsidRPr="00367BEC">
              <w:rPr>
                <w:rFonts w:ascii="Times New Roman" w:hAnsi="Times New Roman"/>
                <w:b/>
                <w:color w:val="000000"/>
                <w:sz w:val="16"/>
                <w:vertAlign w:val="superscript"/>
              </w:rPr>
              <w:t>ii</w:t>
            </w:r>
          </w:p>
        </w:tc>
      </w:tr>
      <w:tr w:rsidR="002E4D99" w:rsidRPr="00367BEC" w14:paraId="184CE807" w14:textId="77777777" w:rsidTr="00CF1C1E">
        <w:trPr>
          <w:trHeight w:val="261"/>
        </w:trPr>
        <w:tc>
          <w:tcPr>
            <w:tcW w:w="674" w:type="pct"/>
            <w:tcBorders>
              <w:top w:val="single" w:sz="8" w:space="0" w:color="auto"/>
              <w:left w:val="nil"/>
              <w:bottom w:val="nil"/>
              <w:right w:val="nil"/>
            </w:tcBorders>
            <w:shd w:val="clear" w:color="000000" w:fill="FFFFFF"/>
            <w:noWrap/>
            <w:hideMark/>
          </w:tcPr>
          <w:p w14:paraId="08E450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Guillen 2017</w:t>
            </w:r>
          </w:p>
        </w:tc>
        <w:tc>
          <w:tcPr>
            <w:tcW w:w="623" w:type="pct"/>
            <w:tcBorders>
              <w:top w:val="nil"/>
              <w:left w:val="nil"/>
              <w:bottom w:val="single" w:sz="4" w:space="0" w:color="D0CECE" w:themeColor="background2" w:themeShade="E6"/>
              <w:right w:val="nil"/>
            </w:tcBorders>
            <w:shd w:val="clear" w:color="000000" w:fill="FFFFFF"/>
            <w:noWrap/>
            <w:hideMark/>
          </w:tcPr>
          <w:p w14:paraId="39F53F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132" w:type="pct"/>
            <w:tcBorders>
              <w:top w:val="single" w:sz="8" w:space="0" w:color="auto"/>
              <w:left w:val="nil"/>
              <w:bottom w:val="single" w:sz="4" w:space="0" w:color="D0CECE" w:themeColor="background2" w:themeShade="E6"/>
              <w:right w:val="nil"/>
            </w:tcBorders>
            <w:shd w:val="clear" w:color="000000" w:fill="FFFFFF"/>
            <w:noWrap/>
            <w:hideMark/>
          </w:tcPr>
          <w:p w14:paraId="108C0889" w14:textId="2DA1000A" w:rsidR="002E4D99" w:rsidRPr="00367BEC" w:rsidRDefault="0040145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EVA</w:t>
            </w:r>
            <w:r w:rsidR="00537209">
              <w:rPr>
                <w:rFonts w:ascii="Times New Roman" w:hAnsi="Times New Roman"/>
                <w:color w:val="000000"/>
                <w:sz w:val="16"/>
              </w:rPr>
              <w:t>-11</w:t>
            </w:r>
          </w:p>
        </w:tc>
        <w:tc>
          <w:tcPr>
            <w:tcW w:w="574" w:type="pct"/>
            <w:gridSpan w:val="2"/>
            <w:tcBorders>
              <w:top w:val="nil"/>
              <w:left w:val="nil"/>
              <w:bottom w:val="single" w:sz="4" w:space="0" w:color="D0CECE" w:themeColor="background2" w:themeShade="E6"/>
              <w:right w:val="nil"/>
            </w:tcBorders>
            <w:shd w:val="clear" w:color="000000" w:fill="FFFFFF"/>
            <w:noWrap/>
            <w:hideMark/>
          </w:tcPr>
          <w:p w14:paraId="673023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Puntuación más </w:t>
            </w:r>
            <w:proofErr w:type="spellStart"/>
            <w:r w:rsidRPr="00367BEC">
              <w:rPr>
                <w:rFonts w:ascii="Times New Roman" w:hAnsi="Times New Roman"/>
                <w:color w:val="000000"/>
                <w:sz w:val="16"/>
              </w:rPr>
              <w:t>alta</w:t>
            </w:r>
            <w:r w:rsidRPr="00367BEC">
              <w:rPr>
                <w:rFonts w:ascii="Times New Roman" w:hAnsi="Times New Roman"/>
                <w:b/>
                <w:color w:val="000000"/>
                <w:sz w:val="16"/>
                <w:vertAlign w:val="superscript"/>
              </w:rPr>
              <w:t>III</w:t>
            </w:r>
            <w:proofErr w:type="spellEnd"/>
          </w:p>
        </w:tc>
        <w:tc>
          <w:tcPr>
            <w:tcW w:w="161" w:type="pct"/>
            <w:tcBorders>
              <w:top w:val="nil"/>
              <w:left w:val="nil"/>
              <w:bottom w:val="single" w:sz="4" w:space="0" w:color="D0CECE" w:themeColor="background2" w:themeShade="E6"/>
              <w:right w:val="nil"/>
            </w:tcBorders>
            <w:shd w:val="clear" w:color="000000" w:fill="FFFFFF"/>
            <w:noWrap/>
            <w:hideMark/>
          </w:tcPr>
          <w:p w14:paraId="3CBC59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13" w:type="pct"/>
            <w:tcBorders>
              <w:top w:val="nil"/>
              <w:left w:val="nil"/>
              <w:bottom w:val="single" w:sz="4" w:space="0" w:color="D0CECE" w:themeColor="background2" w:themeShade="E6"/>
              <w:right w:val="nil"/>
            </w:tcBorders>
            <w:shd w:val="clear" w:color="000000" w:fill="FFFFFF"/>
            <w:noWrap/>
            <w:hideMark/>
          </w:tcPr>
          <w:p w14:paraId="20D37E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23" w:type="pct"/>
            <w:gridSpan w:val="2"/>
            <w:tcBorders>
              <w:top w:val="nil"/>
              <w:left w:val="nil"/>
              <w:bottom w:val="single" w:sz="4" w:space="0" w:color="D0CECE" w:themeColor="background2" w:themeShade="E6"/>
              <w:right w:val="nil"/>
            </w:tcBorders>
            <w:shd w:val="clear" w:color="000000" w:fill="FFFFFF"/>
            <w:noWrap/>
            <w:hideMark/>
          </w:tcPr>
          <w:p w14:paraId="6CAF333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Mejora a los 7 </w:t>
            </w:r>
            <w:proofErr w:type="spellStart"/>
            <w:r w:rsidRPr="00367BEC">
              <w:rPr>
                <w:rFonts w:ascii="Times New Roman" w:hAnsi="Times New Roman"/>
                <w:color w:val="000000"/>
                <w:sz w:val="16"/>
              </w:rPr>
              <w:t>d</w:t>
            </w:r>
            <w:r w:rsidRPr="00367BEC">
              <w:rPr>
                <w:rFonts w:ascii="Times New Roman" w:hAnsi="Times New Roman"/>
                <w:b/>
                <w:color w:val="000000"/>
                <w:sz w:val="16"/>
                <w:vertAlign w:val="superscript"/>
              </w:rPr>
              <w:t>III</w:t>
            </w:r>
            <w:proofErr w:type="spellEnd"/>
          </w:p>
        </w:tc>
      </w:tr>
      <w:tr w:rsidR="002E4D99" w:rsidRPr="00367BEC" w14:paraId="18D8D7CA" w14:textId="77777777" w:rsidTr="00CF1C1E">
        <w:trPr>
          <w:trHeight w:val="20"/>
        </w:trPr>
        <w:tc>
          <w:tcPr>
            <w:tcW w:w="674" w:type="pct"/>
            <w:tcBorders>
              <w:top w:val="nil"/>
              <w:left w:val="nil"/>
              <w:bottom w:val="single" w:sz="8" w:space="0" w:color="auto"/>
              <w:right w:val="nil"/>
            </w:tcBorders>
            <w:shd w:val="clear" w:color="000000" w:fill="FFFFFF"/>
            <w:noWrap/>
            <w:hideMark/>
          </w:tcPr>
          <w:p w14:paraId="596E11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single" w:sz="4" w:space="0" w:color="D0CECE" w:themeColor="background2" w:themeShade="E6"/>
              <w:left w:val="nil"/>
              <w:bottom w:val="single" w:sz="8" w:space="0" w:color="auto"/>
              <w:right w:val="nil"/>
            </w:tcBorders>
            <w:shd w:val="clear" w:color="000000" w:fill="FFFFFF"/>
            <w:noWrap/>
            <w:hideMark/>
          </w:tcPr>
          <w:p w14:paraId="6EA668E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TRA</w:t>
            </w:r>
            <w:r w:rsidRPr="00367BEC">
              <w:rPr>
                <w:rFonts w:ascii="Times New Roman" w:hAnsi="Times New Roman"/>
                <w:b/>
                <w:color w:val="000000"/>
                <w:sz w:val="20"/>
                <w:vertAlign w:val="superscript"/>
              </w:rPr>
              <w:t>a</w:t>
            </w:r>
            <w:proofErr w:type="spellEnd"/>
          </w:p>
        </w:tc>
        <w:tc>
          <w:tcPr>
            <w:tcW w:w="1132" w:type="pct"/>
            <w:tcBorders>
              <w:top w:val="single" w:sz="4" w:space="0" w:color="D0CECE" w:themeColor="background2" w:themeShade="E6"/>
              <w:left w:val="nil"/>
              <w:bottom w:val="single" w:sz="8" w:space="0" w:color="auto"/>
              <w:right w:val="nil"/>
            </w:tcBorders>
            <w:shd w:val="clear" w:color="000000" w:fill="FFFFFF"/>
            <w:noWrap/>
            <w:hideMark/>
          </w:tcPr>
          <w:p w14:paraId="01147BCF" w14:textId="3FA117E4" w:rsidR="002E4D99" w:rsidRPr="00367BEC" w:rsidRDefault="0040145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EVA</w:t>
            </w:r>
            <w:r w:rsidR="00537209">
              <w:rPr>
                <w:rFonts w:ascii="Times New Roman" w:hAnsi="Times New Roman"/>
                <w:color w:val="000000"/>
                <w:sz w:val="16"/>
              </w:rPr>
              <w:t>-11</w:t>
            </w:r>
          </w:p>
        </w:tc>
        <w:tc>
          <w:tcPr>
            <w:tcW w:w="161" w:type="pct"/>
            <w:tcBorders>
              <w:top w:val="single" w:sz="4" w:space="0" w:color="D0CECE" w:themeColor="background2" w:themeShade="E6"/>
              <w:left w:val="nil"/>
              <w:bottom w:val="single" w:sz="8" w:space="0" w:color="auto"/>
              <w:right w:val="nil"/>
            </w:tcBorders>
            <w:shd w:val="clear" w:color="000000" w:fill="FFFFFF"/>
            <w:noWrap/>
            <w:hideMark/>
          </w:tcPr>
          <w:p w14:paraId="09DE65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3" w:type="pct"/>
            <w:tcBorders>
              <w:top w:val="single" w:sz="4" w:space="0" w:color="D0CECE" w:themeColor="background2" w:themeShade="E6"/>
              <w:left w:val="nil"/>
              <w:bottom w:val="single" w:sz="8" w:space="0" w:color="auto"/>
              <w:right w:val="nil"/>
            </w:tcBorders>
            <w:shd w:val="clear" w:color="000000" w:fill="FFFFFF"/>
            <w:noWrap/>
            <w:hideMark/>
          </w:tcPr>
          <w:p w14:paraId="33F16C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61" w:type="pct"/>
            <w:tcBorders>
              <w:top w:val="single" w:sz="4" w:space="0" w:color="D0CECE" w:themeColor="background2" w:themeShade="E6"/>
              <w:left w:val="nil"/>
              <w:bottom w:val="single" w:sz="8" w:space="0" w:color="auto"/>
              <w:right w:val="nil"/>
            </w:tcBorders>
            <w:shd w:val="clear" w:color="000000" w:fill="FFFFFF"/>
            <w:noWrap/>
            <w:hideMark/>
          </w:tcPr>
          <w:p w14:paraId="4FEAF7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13" w:type="pct"/>
            <w:tcBorders>
              <w:top w:val="single" w:sz="4" w:space="0" w:color="D0CECE" w:themeColor="background2" w:themeShade="E6"/>
              <w:left w:val="nil"/>
              <w:bottom w:val="single" w:sz="8" w:space="0" w:color="auto"/>
              <w:right w:val="nil"/>
            </w:tcBorders>
            <w:shd w:val="clear" w:color="000000" w:fill="FFFFFF"/>
            <w:noWrap/>
            <w:hideMark/>
          </w:tcPr>
          <w:p w14:paraId="041480D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23" w:type="pct"/>
            <w:gridSpan w:val="2"/>
            <w:tcBorders>
              <w:top w:val="single" w:sz="4" w:space="0" w:color="D0CECE" w:themeColor="background2" w:themeShade="E6"/>
              <w:left w:val="nil"/>
              <w:bottom w:val="single" w:sz="8" w:space="0" w:color="auto"/>
              <w:right w:val="nil"/>
            </w:tcBorders>
            <w:shd w:val="clear" w:color="000000" w:fill="FFFFFF"/>
            <w:noWrap/>
            <w:hideMark/>
          </w:tcPr>
          <w:p w14:paraId="21A02C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Mejora a los 7 d</w:t>
            </w:r>
          </w:p>
        </w:tc>
      </w:tr>
      <w:tr w:rsidR="002E4D99" w:rsidRPr="00367BEC" w14:paraId="5A97A2C8" w14:textId="77777777" w:rsidTr="00CF1C1E">
        <w:trPr>
          <w:trHeight w:val="20"/>
        </w:trPr>
        <w:tc>
          <w:tcPr>
            <w:tcW w:w="674" w:type="pct"/>
            <w:tcBorders>
              <w:top w:val="nil"/>
              <w:left w:val="nil"/>
              <w:bottom w:val="nil"/>
              <w:right w:val="nil"/>
            </w:tcBorders>
            <w:shd w:val="clear" w:color="000000" w:fill="FFFFFF"/>
            <w:noWrap/>
            <w:hideMark/>
          </w:tcPr>
          <w:p w14:paraId="51DB225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Passavanti</w:t>
            </w:r>
            <w:proofErr w:type="spellEnd"/>
            <w:r w:rsidRPr="00367BEC">
              <w:rPr>
                <w:rFonts w:ascii="Times New Roman" w:hAnsi="Times New Roman"/>
                <w:color w:val="000000"/>
                <w:sz w:val="16"/>
              </w:rPr>
              <w:t xml:space="preserve"> 2017</w:t>
            </w:r>
          </w:p>
        </w:tc>
        <w:tc>
          <w:tcPr>
            <w:tcW w:w="623" w:type="pct"/>
            <w:tcBorders>
              <w:top w:val="nil"/>
              <w:left w:val="nil"/>
              <w:bottom w:val="single" w:sz="4" w:space="0" w:color="D0CECE" w:themeColor="background2" w:themeShade="E6"/>
              <w:right w:val="nil"/>
            </w:tcBorders>
            <w:shd w:val="clear" w:color="000000" w:fill="FFFFFF"/>
            <w:noWrap/>
            <w:hideMark/>
          </w:tcPr>
          <w:p w14:paraId="5EC077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132" w:type="pct"/>
            <w:tcBorders>
              <w:top w:val="nil"/>
              <w:left w:val="nil"/>
              <w:bottom w:val="single" w:sz="4" w:space="0" w:color="D0CECE" w:themeColor="background2" w:themeShade="E6"/>
              <w:right w:val="nil"/>
            </w:tcBorders>
            <w:shd w:val="clear" w:color="000000" w:fill="FFFFFF"/>
            <w:noWrap/>
            <w:hideMark/>
          </w:tcPr>
          <w:p w14:paraId="18BA6582" w14:textId="005A8B0B" w:rsidR="002E4D99" w:rsidRPr="00367BEC" w:rsidRDefault="0040145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EVA</w:t>
            </w:r>
            <w:r w:rsidR="00537209">
              <w:rPr>
                <w:rFonts w:ascii="Times New Roman" w:hAnsi="Times New Roman"/>
                <w:color w:val="000000"/>
                <w:sz w:val="16"/>
              </w:rPr>
              <w:t>-11</w:t>
            </w:r>
          </w:p>
        </w:tc>
        <w:tc>
          <w:tcPr>
            <w:tcW w:w="161" w:type="pct"/>
            <w:tcBorders>
              <w:top w:val="nil"/>
              <w:left w:val="nil"/>
              <w:bottom w:val="single" w:sz="4" w:space="0" w:color="D0CECE" w:themeColor="background2" w:themeShade="E6"/>
              <w:right w:val="nil"/>
            </w:tcBorders>
            <w:shd w:val="clear" w:color="000000" w:fill="FFFFFF"/>
            <w:noWrap/>
            <w:hideMark/>
          </w:tcPr>
          <w:p w14:paraId="41D4F6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7,7</w:t>
            </w:r>
          </w:p>
        </w:tc>
        <w:tc>
          <w:tcPr>
            <w:tcW w:w="413" w:type="pct"/>
            <w:tcBorders>
              <w:top w:val="nil"/>
              <w:left w:val="nil"/>
              <w:bottom w:val="single" w:sz="4" w:space="0" w:color="D0CECE" w:themeColor="background2" w:themeShade="E6"/>
              <w:right w:val="nil"/>
            </w:tcBorders>
            <w:shd w:val="clear" w:color="000000" w:fill="FFFFFF"/>
            <w:noWrap/>
            <w:hideMark/>
          </w:tcPr>
          <w:p w14:paraId="21EF67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0,1</w:t>
            </w:r>
            <w:r w:rsidRPr="00367BEC">
              <w:rPr>
                <w:rFonts w:ascii="Times New Roman" w:hAnsi="Times New Roman"/>
                <w:b/>
                <w:color w:val="000000"/>
                <w:sz w:val="16"/>
                <w:vertAlign w:val="superscript"/>
              </w:rPr>
              <w:t>n.s.</w:t>
            </w:r>
          </w:p>
        </w:tc>
        <w:tc>
          <w:tcPr>
            <w:tcW w:w="161" w:type="pct"/>
            <w:tcBorders>
              <w:top w:val="nil"/>
              <w:left w:val="nil"/>
              <w:bottom w:val="single" w:sz="4" w:space="0" w:color="D0CECE" w:themeColor="background2" w:themeShade="E6"/>
              <w:right w:val="nil"/>
            </w:tcBorders>
            <w:shd w:val="clear" w:color="000000" w:fill="FFFFFF"/>
            <w:noWrap/>
            <w:hideMark/>
          </w:tcPr>
          <w:p w14:paraId="786358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5,9</w:t>
            </w:r>
          </w:p>
        </w:tc>
        <w:tc>
          <w:tcPr>
            <w:tcW w:w="313" w:type="pct"/>
            <w:tcBorders>
              <w:top w:val="nil"/>
              <w:left w:val="nil"/>
              <w:bottom w:val="single" w:sz="4" w:space="0" w:color="D0CECE" w:themeColor="background2" w:themeShade="E6"/>
              <w:right w:val="nil"/>
            </w:tcBorders>
            <w:shd w:val="clear" w:color="000000" w:fill="FFFFFF"/>
            <w:noWrap/>
            <w:hideMark/>
          </w:tcPr>
          <w:p w14:paraId="164B96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0,1</w:t>
            </w:r>
          </w:p>
        </w:tc>
        <w:tc>
          <w:tcPr>
            <w:tcW w:w="702" w:type="pct"/>
            <w:tcBorders>
              <w:top w:val="nil"/>
              <w:left w:val="nil"/>
              <w:bottom w:val="single" w:sz="4" w:space="0" w:color="D0CECE" w:themeColor="background2" w:themeShade="E6"/>
              <w:right w:val="nil"/>
            </w:tcBorders>
            <w:shd w:val="clear" w:color="000000" w:fill="FFFFFF"/>
            <w:noWrap/>
            <w:hideMark/>
          </w:tcPr>
          <w:p w14:paraId="6CDB10C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−1,8</w:t>
            </w:r>
            <w:r w:rsidRPr="00367BEC">
              <w:rPr>
                <w:rFonts w:ascii="Times New Roman" w:hAnsi="Times New Roman"/>
                <w:b/>
                <w:color w:val="000000"/>
                <w:sz w:val="16"/>
                <w:vertAlign w:val="superscript"/>
              </w:rPr>
              <w:t>III</w:t>
            </w:r>
          </w:p>
        </w:tc>
        <w:tc>
          <w:tcPr>
            <w:tcW w:w="821" w:type="pct"/>
            <w:tcBorders>
              <w:top w:val="nil"/>
              <w:left w:val="nil"/>
              <w:bottom w:val="single" w:sz="4" w:space="0" w:color="D0CECE" w:themeColor="background2" w:themeShade="E6"/>
              <w:right w:val="nil"/>
            </w:tcBorders>
            <w:shd w:val="clear" w:color="000000" w:fill="FFFFFF"/>
            <w:noWrap/>
            <w:hideMark/>
          </w:tcPr>
          <w:p w14:paraId="2B1EE08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−23,4</w:t>
            </w:r>
            <w:r w:rsidRPr="00367BEC">
              <w:rPr>
                <w:rFonts w:ascii="Times New Roman" w:hAnsi="Times New Roman"/>
                <w:b/>
                <w:color w:val="000000"/>
                <w:sz w:val="16"/>
                <w:vertAlign w:val="superscript"/>
              </w:rPr>
              <w:t>iii</w:t>
            </w:r>
          </w:p>
        </w:tc>
      </w:tr>
      <w:tr w:rsidR="002E4D99" w:rsidRPr="00367BEC" w14:paraId="51E2DC4F" w14:textId="77777777" w:rsidTr="00CF1C1E">
        <w:trPr>
          <w:trHeight w:val="20"/>
        </w:trPr>
        <w:tc>
          <w:tcPr>
            <w:tcW w:w="674" w:type="pct"/>
            <w:tcBorders>
              <w:top w:val="nil"/>
              <w:left w:val="nil"/>
              <w:bottom w:val="single" w:sz="8" w:space="0" w:color="auto"/>
              <w:right w:val="nil"/>
            </w:tcBorders>
            <w:shd w:val="clear" w:color="000000" w:fill="FFFFFF"/>
            <w:noWrap/>
            <w:hideMark/>
          </w:tcPr>
          <w:p w14:paraId="064CBE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single" w:sz="4" w:space="0" w:color="D0CECE" w:themeColor="background2" w:themeShade="E6"/>
              <w:left w:val="nil"/>
              <w:bottom w:val="single" w:sz="8" w:space="0" w:color="auto"/>
              <w:right w:val="nil"/>
            </w:tcBorders>
            <w:shd w:val="clear" w:color="000000" w:fill="FFFFFF"/>
            <w:noWrap/>
            <w:hideMark/>
          </w:tcPr>
          <w:p w14:paraId="493156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 </w:t>
            </w:r>
            <w:proofErr w:type="spellStart"/>
            <w:r w:rsidRPr="00367BEC">
              <w:rPr>
                <w:rFonts w:ascii="Times New Roman" w:hAnsi="Times New Roman"/>
                <w:color w:val="000000"/>
                <w:sz w:val="16"/>
              </w:rPr>
              <w:t>um</w:t>
            </w:r>
            <w:proofErr w:type="spellEnd"/>
            <w:r w:rsidRPr="00367BEC">
              <w:rPr>
                <w:rFonts w:ascii="Times New Roman" w:hAnsi="Times New Roman"/>
                <w:color w:val="000000"/>
                <w:sz w:val="16"/>
              </w:rPr>
              <w:t>-PEA</w:t>
            </w:r>
          </w:p>
        </w:tc>
        <w:tc>
          <w:tcPr>
            <w:tcW w:w="1132" w:type="pct"/>
            <w:tcBorders>
              <w:top w:val="single" w:sz="4" w:space="0" w:color="D0CECE" w:themeColor="background2" w:themeShade="E6"/>
              <w:left w:val="nil"/>
              <w:bottom w:val="single" w:sz="8" w:space="0" w:color="auto"/>
              <w:right w:val="nil"/>
            </w:tcBorders>
            <w:shd w:val="clear" w:color="000000" w:fill="FFFFFF"/>
            <w:noWrap/>
            <w:hideMark/>
          </w:tcPr>
          <w:p w14:paraId="04DF9B76" w14:textId="622DCF10" w:rsidR="002E4D99" w:rsidRPr="00367BEC" w:rsidRDefault="00401451" w:rsidP="00CF1C1E">
            <w:pPr>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rPr>
              <w:t>EVA</w:t>
            </w:r>
            <w:r w:rsidR="00537209">
              <w:rPr>
                <w:rFonts w:ascii="Times New Roman" w:hAnsi="Times New Roman"/>
                <w:color w:val="000000"/>
                <w:sz w:val="16"/>
              </w:rPr>
              <w:t>-11</w:t>
            </w:r>
          </w:p>
        </w:tc>
        <w:tc>
          <w:tcPr>
            <w:tcW w:w="161" w:type="pct"/>
            <w:tcBorders>
              <w:top w:val="single" w:sz="4" w:space="0" w:color="D0CECE" w:themeColor="background2" w:themeShade="E6"/>
              <w:left w:val="nil"/>
              <w:bottom w:val="single" w:sz="8" w:space="0" w:color="auto"/>
              <w:right w:val="nil"/>
            </w:tcBorders>
            <w:shd w:val="clear" w:color="000000" w:fill="FFFFFF"/>
            <w:noWrap/>
            <w:hideMark/>
          </w:tcPr>
          <w:p w14:paraId="115BB2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7,4</w:t>
            </w:r>
          </w:p>
        </w:tc>
        <w:tc>
          <w:tcPr>
            <w:tcW w:w="413" w:type="pct"/>
            <w:tcBorders>
              <w:top w:val="single" w:sz="4" w:space="0" w:color="D0CECE" w:themeColor="background2" w:themeShade="E6"/>
              <w:left w:val="nil"/>
              <w:bottom w:val="single" w:sz="8" w:space="0" w:color="auto"/>
              <w:right w:val="nil"/>
            </w:tcBorders>
            <w:shd w:val="clear" w:color="000000" w:fill="FFFFFF"/>
            <w:noWrap/>
            <w:hideMark/>
          </w:tcPr>
          <w:p w14:paraId="05DD4C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0,1</w:t>
            </w:r>
          </w:p>
        </w:tc>
        <w:tc>
          <w:tcPr>
            <w:tcW w:w="161" w:type="pct"/>
            <w:tcBorders>
              <w:top w:val="single" w:sz="4" w:space="0" w:color="D0CECE" w:themeColor="background2" w:themeShade="E6"/>
              <w:left w:val="nil"/>
              <w:bottom w:val="single" w:sz="8" w:space="0" w:color="auto"/>
              <w:right w:val="nil"/>
            </w:tcBorders>
            <w:shd w:val="clear" w:color="000000" w:fill="FFFFFF"/>
            <w:noWrap/>
            <w:hideMark/>
          </w:tcPr>
          <w:p w14:paraId="15CF613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w:t>
            </w:r>
          </w:p>
        </w:tc>
        <w:tc>
          <w:tcPr>
            <w:tcW w:w="313" w:type="pct"/>
            <w:tcBorders>
              <w:top w:val="single" w:sz="4" w:space="0" w:color="D0CECE" w:themeColor="background2" w:themeShade="E6"/>
              <w:left w:val="nil"/>
              <w:bottom w:val="single" w:sz="8" w:space="0" w:color="auto"/>
              <w:right w:val="nil"/>
            </w:tcBorders>
            <w:shd w:val="clear" w:color="000000" w:fill="FFFFFF"/>
            <w:noWrap/>
            <w:hideMark/>
          </w:tcPr>
          <w:p w14:paraId="4FD1759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EE = 0,1</w:t>
            </w:r>
          </w:p>
        </w:tc>
        <w:tc>
          <w:tcPr>
            <w:tcW w:w="702" w:type="pct"/>
            <w:tcBorders>
              <w:top w:val="single" w:sz="4" w:space="0" w:color="D0CECE" w:themeColor="background2" w:themeShade="E6"/>
              <w:left w:val="nil"/>
              <w:bottom w:val="single" w:sz="8" w:space="0" w:color="auto"/>
              <w:right w:val="nil"/>
            </w:tcBorders>
            <w:shd w:val="clear" w:color="000000" w:fill="FFFFFF"/>
            <w:noWrap/>
            <w:hideMark/>
          </w:tcPr>
          <w:p w14:paraId="3197F57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−2,9</w:t>
            </w:r>
          </w:p>
        </w:tc>
        <w:tc>
          <w:tcPr>
            <w:tcW w:w="821" w:type="pct"/>
            <w:tcBorders>
              <w:top w:val="single" w:sz="4" w:space="0" w:color="D0CECE" w:themeColor="background2" w:themeShade="E6"/>
              <w:left w:val="nil"/>
              <w:bottom w:val="single" w:sz="8" w:space="0" w:color="auto"/>
              <w:right w:val="nil"/>
            </w:tcBorders>
            <w:shd w:val="clear" w:color="000000" w:fill="FFFFFF"/>
            <w:noWrap/>
            <w:hideMark/>
          </w:tcPr>
          <w:p w14:paraId="2DAFF1F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−39,2</w:t>
            </w:r>
            <w:r w:rsidRPr="00367BEC">
              <w:rPr>
                <w:rFonts w:ascii="Times New Roman" w:hAnsi="Times New Roman"/>
                <w:b/>
                <w:color w:val="000000"/>
                <w:sz w:val="16"/>
                <w:vertAlign w:val="superscript"/>
              </w:rPr>
              <w:t>iii</w:t>
            </w:r>
          </w:p>
        </w:tc>
      </w:tr>
      <w:tr w:rsidR="002E4D99" w:rsidRPr="00367BEC" w14:paraId="74D35E0A" w14:textId="77777777" w:rsidTr="00CF1C1E">
        <w:trPr>
          <w:trHeight w:val="20"/>
        </w:trPr>
        <w:tc>
          <w:tcPr>
            <w:tcW w:w="674" w:type="pct"/>
            <w:tcBorders>
              <w:top w:val="nil"/>
              <w:left w:val="nil"/>
              <w:bottom w:val="nil"/>
              <w:right w:val="nil"/>
            </w:tcBorders>
            <w:shd w:val="clear" w:color="000000" w:fill="FFFFFF"/>
            <w:noWrap/>
            <w:hideMark/>
          </w:tcPr>
          <w:p w14:paraId="072AB0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Ueberall</w:t>
            </w:r>
            <w:proofErr w:type="spellEnd"/>
            <w:r w:rsidRPr="00367BEC">
              <w:rPr>
                <w:rFonts w:ascii="Times New Roman" w:hAnsi="Times New Roman"/>
                <w:color w:val="000000"/>
                <w:sz w:val="16"/>
              </w:rPr>
              <w:t xml:space="preserve"> 2016</w:t>
            </w:r>
          </w:p>
        </w:tc>
        <w:tc>
          <w:tcPr>
            <w:tcW w:w="623" w:type="pct"/>
            <w:tcBorders>
              <w:top w:val="nil"/>
              <w:left w:val="nil"/>
              <w:bottom w:val="nil"/>
              <w:right w:val="nil"/>
            </w:tcBorders>
            <w:shd w:val="clear" w:color="000000" w:fill="FFFFFF"/>
            <w:noWrap/>
            <w:hideMark/>
          </w:tcPr>
          <w:p w14:paraId="0BBDE98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132" w:type="pct"/>
            <w:tcBorders>
              <w:top w:val="nil"/>
              <w:left w:val="nil"/>
              <w:bottom w:val="nil"/>
              <w:right w:val="nil"/>
            </w:tcBorders>
            <w:shd w:val="clear" w:color="000000" w:fill="FFFFFF"/>
            <w:noWrap/>
            <w:hideMark/>
          </w:tcPr>
          <w:p w14:paraId="0FB4F4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LUM 24 h promedio en EVA-100-7d</w:t>
            </w:r>
          </w:p>
        </w:tc>
        <w:tc>
          <w:tcPr>
            <w:tcW w:w="161" w:type="pct"/>
            <w:tcBorders>
              <w:top w:val="nil"/>
              <w:left w:val="nil"/>
              <w:bottom w:val="nil"/>
              <w:right w:val="nil"/>
            </w:tcBorders>
            <w:shd w:val="clear" w:color="000000" w:fill="FFFFFF"/>
            <w:noWrap/>
            <w:hideMark/>
          </w:tcPr>
          <w:p w14:paraId="2C0B20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67,4</w:t>
            </w:r>
          </w:p>
        </w:tc>
        <w:tc>
          <w:tcPr>
            <w:tcW w:w="413" w:type="pct"/>
            <w:tcBorders>
              <w:top w:val="nil"/>
              <w:left w:val="nil"/>
              <w:bottom w:val="nil"/>
              <w:right w:val="nil"/>
            </w:tcBorders>
            <w:shd w:val="clear" w:color="000000" w:fill="FFFFFF"/>
            <w:noWrap/>
            <w:hideMark/>
          </w:tcPr>
          <w:p w14:paraId="41D892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(12,4)</w:t>
            </w:r>
            <w:proofErr w:type="spellStart"/>
            <w:r w:rsidRPr="00367BEC">
              <w:rPr>
                <w:rFonts w:ascii="Times New Roman" w:hAnsi="Times New Roman"/>
                <w:b/>
                <w:color w:val="000000"/>
                <w:sz w:val="16"/>
                <w:vertAlign w:val="superscript"/>
              </w:rPr>
              <w:t>n.s.</w:t>
            </w:r>
            <w:proofErr w:type="spellEnd"/>
          </w:p>
        </w:tc>
        <w:tc>
          <w:tcPr>
            <w:tcW w:w="161" w:type="pct"/>
            <w:tcBorders>
              <w:top w:val="nil"/>
              <w:left w:val="nil"/>
              <w:bottom w:val="nil"/>
              <w:right w:val="nil"/>
            </w:tcBorders>
            <w:shd w:val="clear" w:color="000000" w:fill="FFFFFF"/>
            <w:noWrap/>
            <w:hideMark/>
          </w:tcPr>
          <w:p w14:paraId="2C6B7AF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36,2</w:t>
            </w:r>
          </w:p>
        </w:tc>
        <w:tc>
          <w:tcPr>
            <w:tcW w:w="313" w:type="pct"/>
            <w:tcBorders>
              <w:top w:val="nil"/>
              <w:left w:val="nil"/>
              <w:bottom w:val="nil"/>
              <w:right w:val="nil"/>
            </w:tcBorders>
            <w:shd w:val="clear" w:color="000000" w:fill="FFFFFF"/>
            <w:noWrap/>
            <w:hideMark/>
          </w:tcPr>
          <w:p w14:paraId="32595AA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28F79B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−31,2</w:t>
            </w:r>
          </w:p>
        </w:tc>
        <w:tc>
          <w:tcPr>
            <w:tcW w:w="821" w:type="pct"/>
            <w:tcBorders>
              <w:top w:val="nil"/>
              <w:left w:val="nil"/>
              <w:bottom w:val="nil"/>
              <w:right w:val="nil"/>
            </w:tcBorders>
            <w:shd w:val="clear" w:color="000000" w:fill="FFFFFF"/>
            <w:noWrap/>
            <w:hideMark/>
          </w:tcPr>
          <w:p w14:paraId="3E0F87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−46,5</w:t>
            </w:r>
            <w:r w:rsidRPr="00367BEC">
              <w:rPr>
                <w:rFonts w:ascii="Times New Roman" w:hAnsi="Times New Roman"/>
                <w:b/>
                <w:color w:val="000000"/>
                <w:sz w:val="16"/>
                <w:vertAlign w:val="superscript"/>
              </w:rPr>
              <w:t>I</w:t>
            </w:r>
          </w:p>
        </w:tc>
      </w:tr>
      <w:tr w:rsidR="002E4D99" w:rsidRPr="00367BEC" w14:paraId="0F7BF62F" w14:textId="77777777" w:rsidTr="00CF1C1E">
        <w:trPr>
          <w:trHeight w:val="20"/>
        </w:trPr>
        <w:tc>
          <w:tcPr>
            <w:tcW w:w="674" w:type="pct"/>
            <w:tcBorders>
              <w:top w:val="nil"/>
              <w:left w:val="nil"/>
              <w:bottom w:val="nil"/>
              <w:right w:val="nil"/>
            </w:tcBorders>
            <w:shd w:val="clear" w:color="000000" w:fill="FFFFFF"/>
            <w:noWrap/>
            <w:hideMark/>
          </w:tcPr>
          <w:p w14:paraId="6BCBA0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nil"/>
              <w:right w:val="nil"/>
            </w:tcBorders>
            <w:shd w:val="clear" w:color="000000" w:fill="FFFFFF"/>
            <w:noWrap/>
            <w:hideMark/>
          </w:tcPr>
          <w:p w14:paraId="7DC87E8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0FAAA6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LUM 24 h más baja en EVA-100-7d</w:t>
            </w:r>
          </w:p>
        </w:tc>
        <w:tc>
          <w:tcPr>
            <w:tcW w:w="161" w:type="pct"/>
            <w:tcBorders>
              <w:top w:val="nil"/>
              <w:left w:val="nil"/>
              <w:bottom w:val="nil"/>
              <w:right w:val="nil"/>
            </w:tcBorders>
            <w:shd w:val="clear" w:color="000000" w:fill="FFFFFF"/>
            <w:noWrap/>
            <w:hideMark/>
          </w:tcPr>
          <w:p w14:paraId="20B43CE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18,8</w:t>
            </w:r>
          </w:p>
        </w:tc>
        <w:tc>
          <w:tcPr>
            <w:tcW w:w="413" w:type="pct"/>
            <w:tcBorders>
              <w:top w:val="nil"/>
              <w:left w:val="nil"/>
              <w:bottom w:val="nil"/>
              <w:right w:val="nil"/>
            </w:tcBorders>
            <w:shd w:val="clear" w:color="000000" w:fill="FFFFFF"/>
            <w:noWrap/>
            <w:hideMark/>
          </w:tcPr>
          <w:p w14:paraId="3D90EF2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(18,7)</w:t>
            </w:r>
            <w:proofErr w:type="spellStart"/>
            <w:r w:rsidRPr="00367BEC">
              <w:rPr>
                <w:rFonts w:ascii="Times New Roman" w:hAnsi="Times New Roman"/>
                <w:b/>
                <w:color w:val="000000"/>
                <w:sz w:val="16"/>
                <w:vertAlign w:val="superscript"/>
              </w:rPr>
              <w:t>n.s.</w:t>
            </w:r>
            <w:proofErr w:type="spellEnd"/>
          </w:p>
        </w:tc>
        <w:tc>
          <w:tcPr>
            <w:tcW w:w="161" w:type="pct"/>
            <w:tcBorders>
              <w:top w:val="nil"/>
              <w:left w:val="nil"/>
              <w:bottom w:val="nil"/>
              <w:right w:val="nil"/>
            </w:tcBorders>
            <w:shd w:val="clear" w:color="000000" w:fill="FFFFFF"/>
            <w:noWrap/>
            <w:hideMark/>
          </w:tcPr>
          <w:p w14:paraId="7C33ED2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4,9</w:t>
            </w:r>
          </w:p>
        </w:tc>
        <w:tc>
          <w:tcPr>
            <w:tcW w:w="313" w:type="pct"/>
            <w:tcBorders>
              <w:top w:val="nil"/>
              <w:left w:val="nil"/>
              <w:bottom w:val="nil"/>
              <w:right w:val="nil"/>
            </w:tcBorders>
            <w:shd w:val="clear" w:color="000000" w:fill="FFFFFF"/>
            <w:noWrap/>
            <w:hideMark/>
          </w:tcPr>
          <w:p w14:paraId="6F1DFB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6C4B69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−13,9</w:t>
            </w:r>
          </w:p>
        </w:tc>
        <w:tc>
          <w:tcPr>
            <w:tcW w:w="821" w:type="pct"/>
            <w:tcBorders>
              <w:top w:val="nil"/>
              <w:left w:val="nil"/>
              <w:bottom w:val="nil"/>
              <w:right w:val="nil"/>
            </w:tcBorders>
            <w:shd w:val="clear" w:color="000000" w:fill="FFFFFF"/>
            <w:noWrap/>
            <w:hideMark/>
          </w:tcPr>
          <w:p w14:paraId="2419DE9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−51,2</w:t>
            </w:r>
            <w:r w:rsidRPr="00367BEC">
              <w:rPr>
                <w:rFonts w:ascii="Times New Roman" w:hAnsi="Times New Roman"/>
                <w:b/>
                <w:color w:val="000000"/>
                <w:sz w:val="16"/>
                <w:vertAlign w:val="superscript"/>
              </w:rPr>
              <w:t>n.s.</w:t>
            </w:r>
          </w:p>
        </w:tc>
      </w:tr>
      <w:tr w:rsidR="002E4D99" w:rsidRPr="00367BEC" w14:paraId="15986140" w14:textId="77777777" w:rsidTr="00CF1C1E">
        <w:trPr>
          <w:trHeight w:val="20"/>
        </w:trPr>
        <w:tc>
          <w:tcPr>
            <w:tcW w:w="674" w:type="pct"/>
            <w:tcBorders>
              <w:top w:val="nil"/>
              <w:left w:val="nil"/>
              <w:bottom w:val="nil"/>
              <w:right w:val="nil"/>
            </w:tcBorders>
            <w:shd w:val="clear" w:color="000000" w:fill="FFFFFF"/>
            <w:noWrap/>
            <w:hideMark/>
          </w:tcPr>
          <w:p w14:paraId="21A021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nil"/>
              <w:right w:val="nil"/>
            </w:tcBorders>
            <w:shd w:val="clear" w:color="000000" w:fill="FFFFFF"/>
            <w:noWrap/>
            <w:hideMark/>
          </w:tcPr>
          <w:p w14:paraId="1734B6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5C3FC7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LUM 24 h más alta en EVA-100-7d</w:t>
            </w:r>
          </w:p>
        </w:tc>
        <w:tc>
          <w:tcPr>
            <w:tcW w:w="161" w:type="pct"/>
            <w:tcBorders>
              <w:top w:val="nil"/>
              <w:left w:val="nil"/>
              <w:bottom w:val="nil"/>
              <w:right w:val="nil"/>
            </w:tcBorders>
            <w:shd w:val="clear" w:color="000000" w:fill="FFFFFF"/>
            <w:noWrap/>
            <w:hideMark/>
          </w:tcPr>
          <w:p w14:paraId="15CBEF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81,1</w:t>
            </w:r>
          </w:p>
        </w:tc>
        <w:tc>
          <w:tcPr>
            <w:tcW w:w="413" w:type="pct"/>
            <w:tcBorders>
              <w:top w:val="nil"/>
              <w:left w:val="nil"/>
              <w:bottom w:val="nil"/>
              <w:right w:val="nil"/>
            </w:tcBorders>
            <w:shd w:val="clear" w:color="000000" w:fill="FFFFFF"/>
            <w:noWrap/>
            <w:hideMark/>
          </w:tcPr>
          <w:p w14:paraId="4BC0B68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(15,6)</w:t>
            </w:r>
            <w:proofErr w:type="spellStart"/>
            <w:r w:rsidRPr="00367BEC">
              <w:rPr>
                <w:rFonts w:ascii="Times New Roman" w:hAnsi="Times New Roman"/>
                <w:b/>
                <w:color w:val="000000"/>
                <w:sz w:val="16"/>
                <w:vertAlign w:val="superscript"/>
              </w:rPr>
              <w:t>n.s.</w:t>
            </w:r>
            <w:proofErr w:type="spellEnd"/>
          </w:p>
        </w:tc>
        <w:tc>
          <w:tcPr>
            <w:tcW w:w="161" w:type="pct"/>
            <w:tcBorders>
              <w:top w:val="nil"/>
              <w:left w:val="nil"/>
              <w:bottom w:val="nil"/>
              <w:right w:val="nil"/>
            </w:tcBorders>
            <w:shd w:val="clear" w:color="000000" w:fill="FFFFFF"/>
            <w:noWrap/>
            <w:hideMark/>
          </w:tcPr>
          <w:p w14:paraId="3B27724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40,1</w:t>
            </w:r>
          </w:p>
        </w:tc>
        <w:tc>
          <w:tcPr>
            <w:tcW w:w="313" w:type="pct"/>
            <w:tcBorders>
              <w:top w:val="nil"/>
              <w:left w:val="nil"/>
              <w:bottom w:val="nil"/>
              <w:right w:val="nil"/>
            </w:tcBorders>
            <w:shd w:val="clear" w:color="000000" w:fill="FFFFFF"/>
            <w:noWrap/>
            <w:hideMark/>
          </w:tcPr>
          <w:p w14:paraId="7357AC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057C49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−41,0</w:t>
            </w:r>
          </w:p>
        </w:tc>
        <w:tc>
          <w:tcPr>
            <w:tcW w:w="821" w:type="pct"/>
            <w:tcBorders>
              <w:top w:val="nil"/>
              <w:left w:val="nil"/>
              <w:bottom w:val="nil"/>
              <w:right w:val="nil"/>
            </w:tcBorders>
            <w:shd w:val="clear" w:color="000000" w:fill="FFFFFF"/>
            <w:noWrap/>
            <w:hideMark/>
          </w:tcPr>
          <w:p w14:paraId="0C28D5A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−49,0</w:t>
            </w:r>
            <w:r w:rsidRPr="00367BEC">
              <w:rPr>
                <w:rFonts w:ascii="Times New Roman" w:hAnsi="Times New Roman"/>
                <w:b/>
                <w:color w:val="000000"/>
                <w:sz w:val="16"/>
                <w:vertAlign w:val="superscript"/>
              </w:rPr>
              <w:t>III</w:t>
            </w:r>
          </w:p>
        </w:tc>
      </w:tr>
      <w:tr w:rsidR="002E4D99" w:rsidRPr="00367BEC" w14:paraId="23D33D8A" w14:textId="77777777" w:rsidTr="00CF1C1E">
        <w:trPr>
          <w:trHeight w:val="20"/>
        </w:trPr>
        <w:tc>
          <w:tcPr>
            <w:tcW w:w="674" w:type="pct"/>
            <w:tcBorders>
              <w:top w:val="nil"/>
              <w:left w:val="nil"/>
              <w:bottom w:val="nil"/>
              <w:right w:val="nil"/>
            </w:tcBorders>
            <w:shd w:val="clear" w:color="000000" w:fill="FFFFFF"/>
            <w:noWrap/>
            <w:hideMark/>
          </w:tcPr>
          <w:p w14:paraId="11D78CF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single" w:sz="4" w:space="0" w:color="D0CECE" w:themeColor="background2" w:themeShade="E6"/>
              <w:right w:val="nil"/>
            </w:tcBorders>
            <w:shd w:val="clear" w:color="000000" w:fill="FFFFFF"/>
            <w:noWrap/>
            <w:hideMark/>
          </w:tcPr>
          <w:p w14:paraId="1547F3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single" w:sz="4" w:space="0" w:color="D0CECE" w:themeColor="background2" w:themeShade="E6"/>
              <w:right w:val="nil"/>
            </w:tcBorders>
            <w:shd w:val="clear" w:color="000000" w:fill="FFFFFF"/>
            <w:noWrap/>
            <w:hideMark/>
          </w:tcPr>
          <w:p w14:paraId="044964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IILUM 100-EVA-7d </w:t>
            </w:r>
          </w:p>
        </w:tc>
        <w:tc>
          <w:tcPr>
            <w:tcW w:w="161" w:type="pct"/>
            <w:tcBorders>
              <w:top w:val="nil"/>
              <w:left w:val="nil"/>
              <w:bottom w:val="single" w:sz="4" w:space="0" w:color="D0CECE" w:themeColor="background2" w:themeShade="E6"/>
              <w:right w:val="nil"/>
            </w:tcBorders>
            <w:shd w:val="clear" w:color="000000" w:fill="FFFFFF"/>
            <w:noWrap/>
            <w:hideMark/>
          </w:tcPr>
          <w:p w14:paraId="0E9820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55,6</w:t>
            </w:r>
          </w:p>
        </w:tc>
        <w:tc>
          <w:tcPr>
            <w:tcW w:w="413" w:type="pct"/>
            <w:tcBorders>
              <w:top w:val="nil"/>
              <w:left w:val="nil"/>
              <w:bottom w:val="single" w:sz="4" w:space="0" w:color="D0CECE" w:themeColor="background2" w:themeShade="E6"/>
              <w:right w:val="nil"/>
            </w:tcBorders>
            <w:shd w:val="clear" w:color="000000" w:fill="FFFFFF"/>
            <w:noWrap/>
            <w:hideMark/>
          </w:tcPr>
          <w:p w14:paraId="7D20D7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(9,9)</w:t>
            </w:r>
            <w:proofErr w:type="spellStart"/>
            <w:r w:rsidRPr="00367BEC">
              <w:rPr>
                <w:rFonts w:ascii="Times New Roman" w:hAnsi="Times New Roman"/>
                <w:b/>
                <w:color w:val="000000"/>
                <w:sz w:val="16"/>
                <w:vertAlign w:val="superscript"/>
              </w:rPr>
              <w:t>n.s.</w:t>
            </w:r>
            <w:proofErr w:type="spellEnd"/>
          </w:p>
        </w:tc>
        <w:tc>
          <w:tcPr>
            <w:tcW w:w="161" w:type="pct"/>
            <w:tcBorders>
              <w:top w:val="nil"/>
              <w:left w:val="nil"/>
              <w:bottom w:val="single" w:sz="4" w:space="0" w:color="D0CECE" w:themeColor="background2" w:themeShade="E6"/>
              <w:right w:val="nil"/>
            </w:tcBorders>
            <w:shd w:val="clear" w:color="000000" w:fill="FFFFFF"/>
            <w:noWrap/>
            <w:hideMark/>
          </w:tcPr>
          <w:p w14:paraId="6FF37FA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28,5</w:t>
            </w:r>
          </w:p>
        </w:tc>
        <w:tc>
          <w:tcPr>
            <w:tcW w:w="313" w:type="pct"/>
            <w:tcBorders>
              <w:top w:val="nil"/>
              <w:left w:val="nil"/>
              <w:bottom w:val="single" w:sz="4" w:space="0" w:color="D0CECE" w:themeColor="background2" w:themeShade="E6"/>
              <w:right w:val="nil"/>
            </w:tcBorders>
            <w:shd w:val="clear" w:color="000000" w:fill="FFFFFF"/>
            <w:noWrap/>
            <w:hideMark/>
          </w:tcPr>
          <w:p w14:paraId="6B74F43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(13,9)</w:t>
            </w:r>
            <w:r w:rsidRPr="00367BEC">
              <w:rPr>
                <w:rFonts w:ascii="Times New Roman" w:hAnsi="Times New Roman"/>
                <w:b/>
                <w:color w:val="000000"/>
                <w:sz w:val="16"/>
                <w:vertAlign w:val="superscript"/>
              </w:rPr>
              <w:t>II</w:t>
            </w:r>
          </w:p>
        </w:tc>
        <w:tc>
          <w:tcPr>
            <w:tcW w:w="702" w:type="pct"/>
            <w:tcBorders>
              <w:top w:val="nil"/>
              <w:left w:val="nil"/>
              <w:bottom w:val="single" w:sz="4" w:space="0" w:color="D0CECE" w:themeColor="background2" w:themeShade="E6"/>
              <w:right w:val="nil"/>
            </w:tcBorders>
            <w:shd w:val="clear" w:color="000000" w:fill="FFFFFF"/>
            <w:noWrap/>
            <w:hideMark/>
          </w:tcPr>
          <w:p w14:paraId="00C9FE5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−27,1 (14,4)</w:t>
            </w:r>
            <w:r w:rsidRPr="00367BEC">
              <w:rPr>
                <w:rFonts w:ascii="Times New Roman" w:hAnsi="Times New Roman"/>
                <w:b/>
                <w:color w:val="000000"/>
                <w:sz w:val="16"/>
                <w:vertAlign w:val="superscript"/>
              </w:rPr>
              <w:t>I</w:t>
            </w:r>
          </w:p>
        </w:tc>
        <w:tc>
          <w:tcPr>
            <w:tcW w:w="821" w:type="pct"/>
            <w:tcBorders>
              <w:top w:val="nil"/>
              <w:left w:val="nil"/>
              <w:bottom w:val="single" w:sz="4" w:space="0" w:color="D0CECE" w:themeColor="background2" w:themeShade="E6"/>
              <w:right w:val="nil"/>
            </w:tcBorders>
            <w:shd w:val="clear" w:color="000000" w:fill="FFFFFF"/>
            <w:noWrap/>
            <w:hideMark/>
          </w:tcPr>
          <w:p w14:paraId="602FC63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−48,3 (24,4)</w:t>
            </w:r>
            <w:r w:rsidRPr="00367BEC">
              <w:rPr>
                <w:rFonts w:ascii="Times New Roman" w:hAnsi="Times New Roman"/>
                <w:b/>
                <w:color w:val="000000"/>
                <w:sz w:val="16"/>
                <w:vertAlign w:val="superscript"/>
              </w:rPr>
              <w:t xml:space="preserve">II, </w:t>
            </w:r>
            <w:proofErr w:type="spellStart"/>
            <w:r w:rsidRPr="00367BEC">
              <w:rPr>
                <w:rFonts w:ascii="Times New Roman" w:hAnsi="Times New Roman"/>
                <w:b/>
                <w:color w:val="000000"/>
                <w:sz w:val="16"/>
                <w:vertAlign w:val="superscript"/>
              </w:rPr>
              <w:t>iii</w:t>
            </w:r>
            <w:proofErr w:type="spellEnd"/>
          </w:p>
        </w:tc>
      </w:tr>
      <w:tr w:rsidR="002E4D99" w:rsidRPr="00367BEC" w14:paraId="41F79683" w14:textId="77777777" w:rsidTr="00CF1C1E">
        <w:trPr>
          <w:trHeight w:val="20"/>
        </w:trPr>
        <w:tc>
          <w:tcPr>
            <w:tcW w:w="674" w:type="pct"/>
            <w:tcBorders>
              <w:top w:val="nil"/>
              <w:left w:val="nil"/>
              <w:bottom w:val="nil"/>
              <w:right w:val="nil"/>
            </w:tcBorders>
            <w:shd w:val="clear" w:color="000000" w:fill="FFFFFF"/>
            <w:noWrap/>
            <w:hideMark/>
          </w:tcPr>
          <w:p w14:paraId="79ECA01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single" w:sz="4" w:space="0" w:color="D0CECE" w:themeColor="background2" w:themeShade="E6"/>
              <w:left w:val="nil"/>
              <w:bottom w:val="nil"/>
              <w:right w:val="nil"/>
            </w:tcBorders>
            <w:shd w:val="clear" w:color="000000" w:fill="FFFFFF"/>
            <w:noWrap/>
            <w:hideMark/>
          </w:tcPr>
          <w:p w14:paraId="05C74F3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OXN</w:t>
            </w:r>
          </w:p>
        </w:tc>
        <w:tc>
          <w:tcPr>
            <w:tcW w:w="1132" w:type="pct"/>
            <w:tcBorders>
              <w:top w:val="single" w:sz="4" w:space="0" w:color="D0CECE" w:themeColor="background2" w:themeShade="E6"/>
              <w:left w:val="nil"/>
              <w:bottom w:val="nil"/>
              <w:right w:val="nil"/>
            </w:tcBorders>
            <w:shd w:val="clear" w:color="000000" w:fill="FFFFFF"/>
            <w:noWrap/>
            <w:hideMark/>
          </w:tcPr>
          <w:p w14:paraId="4A37440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LUM 24 h promedio en EVA-100-7d</w:t>
            </w:r>
          </w:p>
        </w:tc>
        <w:tc>
          <w:tcPr>
            <w:tcW w:w="161" w:type="pct"/>
            <w:tcBorders>
              <w:top w:val="single" w:sz="4" w:space="0" w:color="D0CECE" w:themeColor="background2" w:themeShade="E6"/>
              <w:left w:val="nil"/>
              <w:bottom w:val="nil"/>
              <w:right w:val="nil"/>
            </w:tcBorders>
            <w:shd w:val="clear" w:color="000000" w:fill="FFFFFF"/>
            <w:noWrap/>
            <w:hideMark/>
          </w:tcPr>
          <w:p w14:paraId="453A9AB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66,1</w:t>
            </w:r>
          </w:p>
        </w:tc>
        <w:tc>
          <w:tcPr>
            <w:tcW w:w="413" w:type="pct"/>
            <w:tcBorders>
              <w:top w:val="single" w:sz="4" w:space="0" w:color="D0CECE" w:themeColor="background2" w:themeShade="E6"/>
              <w:left w:val="nil"/>
              <w:bottom w:val="nil"/>
              <w:right w:val="nil"/>
            </w:tcBorders>
            <w:shd w:val="clear" w:color="000000" w:fill="FFFFFF"/>
            <w:noWrap/>
            <w:hideMark/>
          </w:tcPr>
          <w:p w14:paraId="744E18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(11,2)</w:t>
            </w:r>
          </w:p>
        </w:tc>
        <w:tc>
          <w:tcPr>
            <w:tcW w:w="161" w:type="pct"/>
            <w:tcBorders>
              <w:top w:val="single" w:sz="4" w:space="0" w:color="D0CECE" w:themeColor="background2" w:themeShade="E6"/>
              <w:left w:val="nil"/>
              <w:bottom w:val="nil"/>
              <w:right w:val="nil"/>
            </w:tcBorders>
            <w:shd w:val="clear" w:color="000000" w:fill="FFFFFF"/>
            <w:noWrap/>
            <w:hideMark/>
          </w:tcPr>
          <w:p w14:paraId="731C29C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31,1</w:t>
            </w:r>
          </w:p>
        </w:tc>
        <w:tc>
          <w:tcPr>
            <w:tcW w:w="313" w:type="pct"/>
            <w:tcBorders>
              <w:top w:val="single" w:sz="4" w:space="0" w:color="D0CECE" w:themeColor="background2" w:themeShade="E6"/>
              <w:left w:val="nil"/>
              <w:bottom w:val="nil"/>
              <w:right w:val="nil"/>
            </w:tcBorders>
            <w:shd w:val="clear" w:color="000000" w:fill="FFFFFF"/>
            <w:noWrap/>
            <w:hideMark/>
          </w:tcPr>
          <w:p w14:paraId="1A7B955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single" w:sz="4" w:space="0" w:color="D0CECE" w:themeColor="background2" w:themeShade="E6"/>
              <w:left w:val="nil"/>
              <w:bottom w:val="nil"/>
              <w:right w:val="nil"/>
            </w:tcBorders>
            <w:shd w:val="clear" w:color="000000" w:fill="FFFFFF"/>
            <w:noWrap/>
            <w:hideMark/>
          </w:tcPr>
          <w:p w14:paraId="121C8FD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−35,0</w:t>
            </w:r>
          </w:p>
        </w:tc>
        <w:tc>
          <w:tcPr>
            <w:tcW w:w="821" w:type="pct"/>
            <w:tcBorders>
              <w:top w:val="single" w:sz="4" w:space="0" w:color="D0CECE" w:themeColor="background2" w:themeShade="E6"/>
              <w:left w:val="nil"/>
              <w:bottom w:val="nil"/>
              <w:right w:val="nil"/>
            </w:tcBorders>
            <w:shd w:val="clear" w:color="000000" w:fill="FFFFFF"/>
            <w:noWrap/>
            <w:hideMark/>
          </w:tcPr>
          <w:p w14:paraId="6CC7A45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−53,6</w:t>
            </w:r>
          </w:p>
        </w:tc>
      </w:tr>
      <w:tr w:rsidR="002E4D99" w:rsidRPr="00367BEC" w14:paraId="22578EB6" w14:textId="77777777" w:rsidTr="00CF1C1E">
        <w:trPr>
          <w:trHeight w:val="20"/>
        </w:trPr>
        <w:tc>
          <w:tcPr>
            <w:tcW w:w="674" w:type="pct"/>
            <w:tcBorders>
              <w:top w:val="nil"/>
              <w:left w:val="nil"/>
              <w:bottom w:val="nil"/>
              <w:right w:val="nil"/>
            </w:tcBorders>
            <w:shd w:val="clear" w:color="000000" w:fill="FFFFFF"/>
            <w:noWrap/>
            <w:hideMark/>
          </w:tcPr>
          <w:p w14:paraId="5255E6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nil"/>
              <w:right w:val="nil"/>
            </w:tcBorders>
            <w:shd w:val="clear" w:color="000000" w:fill="FFFFFF"/>
            <w:noWrap/>
            <w:hideMark/>
          </w:tcPr>
          <w:p w14:paraId="4474A3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49B08A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LUM 24 h más baja en EVA-100-7d</w:t>
            </w:r>
          </w:p>
        </w:tc>
        <w:tc>
          <w:tcPr>
            <w:tcW w:w="161" w:type="pct"/>
            <w:tcBorders>
              <w:top w:val="nil"/>
              <w:left w:val="nil"/>
              <w:bottom w:val="nil"/>
              <w:right w:val="nil"/>
            </w:tcBorders>
            <w:shd w:val="clear" w:color="000000" w:fill="FFFFFF"/>
            <w:noWrap/>
            <w:hideMark/>
          </w:tcPr>
          <w:p w14:paraId="14AB77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18,1</w:t>
            </w:r>
          </w:p>
        </w:tc>
        <w:tc>
          <w:tcPr>
            <w:tcW w:w="413" w:type="pct"/>
            <w:tcBorders>
              <w:top w:val="nil"/>
              <w:left w:val="nil"/>
              <w:bottom w:val="nil"/>
              <w:right w:val="nil"/>
            </w:tcBorders>
            <w:shd w:val="clear" w:color="000000" w:fill="FFFFFF"/>
            <w:noWrap/>
            <w:hideMark/>
          </w:tcPr>
          <w:p w14:paraId="110A83C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(17,2)</w:t>
            </w:r>
          </w:p>
        </w:tc>
        <w:tc>
          <w:tcPr>
            <w:tcW w:w="161" w:type="pct"/>
            <w:tcBorders>
              <w:top w:val="nil"/>
              <w:left w:val="nil"/>
              <w:bottom w:val="nil"/>
              <w:right w:val="nil"/>
            </w:tcBorders>
            <w:shd w:val="clear" w:color="000000" w:fill="FFFFFF"/>
            <w:noWrap/>
            <w:hideMark/>
          </w:tcPr>
          <w:p w14:paraId="5B6E459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3,7</w:t>
            </w:r>
          </w:p>
        </w:tc>
        <w:tc>
          <w:tcPr>
            <w:tcW w:w="313" w:type="pct"/>
            <w:tcBorders>
              <w:top w:val="nil"/>
              <w:left w:val="nil"/>
              <w:bottom w:val="nil"/>
              <w:right w:val="nil"/>
            </w:tcBorders>
            <w:shd w:val="clear" w:color="000000" w:fill="FFFFFF"/>
            <w:noWrap/>
            <w:hideMark/>
          </w:tcPr>
          <w:p w14:paraId="30711C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7E6902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−14,4</w:t>
            </w:r>
          </w:p>
        </w:tc>
        <w:tc>
          <w:tcPr>
            <w:tcW w:w="821" w:type="pct"/>
            <w:tcBorders>
              <w:top w:val="nil"/>
              <w:left w:val="nil"/>
              <w:bottom w:val="nil"/>
              <w:right w:val="nil"/>
            </w:tcBorders>
            <w:shd w:val="clear" w:color="000000" w:fill="FFFFFF"/>
            <w:noWrap/>
            <w:hideMark/>
          </w:tcPr>
          <w:p w14:paraId="1DA371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−51,1</w:t>
            </w:r>
          </w:p>
        </w:tc>
      </w:tr>
      <w:tr w:rsidR="002E4D99" w:rsidRPr="00367BEC" w14:paraId="6484D3AD" w14:textId="77777777" w:rsidTr="00CF1C1E">
        <w:trPr>
          <w:trHeight w:val="20"/>
        </w:trPr>
        <w:tc>
          <w:tcPr>
            <w:tcW w:w="674" w:type="pct"/>
            <w:tcBorders>
              <w:top w:val="nil"/>
              <w:left w:val="nil"/>
              <w:bottom w:val="nil"/>
              <w:right w:val="nil"/>
            </w:tcBorders>
            <w:shd w:val="clear" w:color="000000" w:fill="FFFFFF"/>
            <w:noWrap/>
            <w:hideMark/>
          </w:tcPr>
          <w:p w14:paraId="140A93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nil"/>
              <w:right w:val="nil"/>
            </w:tcBorders>
            <w:shd w:val="clear" w:color="000000" w:fill="FFFFFF"/>
            <w:noWrap/>
            <w:hideMark/>
          </w:tcPr>
          <w:p w14:paraId="74C065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1404C7D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LUM 24 h más alta en EVA-100-7d</w:t>
            </w:r>
          </w:p>
        </w:tc>
        <w:tc>
          <w:tcPr>
            <w:tcW w:w="161" w:type="pct"/>
            <w:tcBorders>
              <w:top w:val="nil"/>
              <w:left w:val="nil"/>
              <w:bottom w:val="nil"/>
              <w:right w:val="nil"/>
            </w:tcBorders>
            <w:shd w:val="clear" w:color="000000" w:fill="FFFFFF"/>
            <w:noWrap/>
            <w:hideMark/>
          </w:tcPr>
          <w:p w14:paraId="167423A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80,9</w:t>
            </w:r>
          </w:p>
        </w:tc>
        <w:tc>
          <w:tcPr>
            <w:tcW w:w="413" w:type="pct"/>
            <w:tcBorders>
              <w:top w:val="nil"/>
              <w:left w:val="nil"/>
              <w:bottom w:val="nil"/>
              <w:right w:val="nil"/>
            </w:tcBorders>
            <w:shd w:val="clear" w:color="000000" w:fill="FFFFFF"/>
            <w:noWrap/>
            <w:hideMark/>
          </w:tcPr>
          <w:p w14:paraId="0088AA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(21,5)</w:t>
            </w:r>
          </w:p>
        </w:tc>
        <w:tc>
          <w:tcPr>
            <w:tcW w:w="161" w:type="pct"/>
            <w:tcBorders>
              <w:top w:val="nil"/>
              <w:left w:val="nil"/>
              <w:bottom w:val="nil"/>
              <w:right w:val="nil"/>
            </w:tcBorders>
            <w:shd w:val="clear" w:color="000000" w:fill="FFFFFF"/>
            <w:noWrap/>
            <w:hideMark/>
          </w:tcPr>
          <w:p w14:paraId="160626EC"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32,0</w:t>
            </w:r>
          </w:p>
        </w:tc>
        <w:tc>
          <w:tcPr>
            <w:tcW w:w="313" w:type="pct"/>
            <w:tcBorders>
              <w:top w:val="nil"/>
              <w:left w:val="nil"/>
              <w:bottom w:val="nil"/>
              <w:right w:val="nil"/>
            </w:tcBorders>
            <w:shd w:val="clear" w:color="000000" w:fill="FFFFFF"/>
            <w:noWrap/>
            <w:hideMark/>
          </w:tcPr>
          <w:p w14:paraId="050FF6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505FB0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−48,9</w:t>
            </w:r>
          </w:p>
        </w:tc>
        <w:tc>
          <w:tcPr>
            <w:tcW w:w="821" w:type="pct"/>
            <w:tcBorders>
              <w:top w:val="nil"/>
              <w:left w:val="nil"/>
              <w:bottom w:val="nil"/>
              <w:right w:val="nil"/>
            </w:tcBorders>
            <w:shd w:val="clear" w:color="000000" w:fill="FFFFFF"/>
            <w:noWrap/>
            <w:hideMark/>
          </w:tcPr>
          <w:p w14:paraId="01FD11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−60,8</w:t>
            </w:r>
          </w:p>
        </w:tc>
      </w:tr>
      <w:tr w:rsidR="002E4D99" w:rsidRPr="00367BEC" w14:paraId="727103B5" w14:textId="77777777" w:rsidTr="00CF1C1E">
        <w:trPr>
          <w:trHeight w:val="20"/>
        </w:trPr>
        <w:tc>
          <w:tcPr>
            <w:tcW w:w="674" w:type="pct"/>
            <w:tcBorders>
              <w:top w:val="nil"/>
              <w:left w:val="nil"/>
              <w:bottom w:val="nil"/>
              <w:right w:val="nil"/>
            </w:tcBorders>
            <w:shd w:val="clear" w:color="000000" w:fill="FFFFFF"/>
            <w:noWrap/>
            <w:hideMark/>
          </w:tcPr>
          <w:p w14:paraId="56B9828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single" w:sz="8" w:space="0" w:color="auto"/>
              <w:right w:val="nil"/>
            </w:tcBorders>
            <w:shd w:val="clear" w:color="000000" w:fill="FFFFFF"/>
            <w:noWrap/>
            <w:hideMark/>
          </w:tcPr>
          <w:p w14:paraId="25D0FD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5DA011F6" w14:textId="126D913A"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537209">
              <w:rPr>
                <w:rFonts w:ascii="Times New Roman" w:hAnsi="Times New Roman"/>
                <w:color w:val="000000"/>
                <w:sz w:val="16"/>
              </w:rPr>
              <w:t>-100</w:t>
            </w:r>
            <w:r w:rsidRPr="00367BEC">
              <w:rPr>
                <w:rFonts w:ascii="Times New Roman" w:hAnsi="Times New Roman"/>
                <w:color w:val="000000"/>
                <w:sz w:val="16"/>
              </w:rPr>
              <w:t xml:space="preserve">-7d </w:t>
            </w:r>
          </w:p>
        </w:tc>
        <w:tc>
          <w:tcPr>
            <w:tcW w:w="161" w:type="pct"/>
            <w:tcBorders>
              <w:top w:val="nil"/>
              <w:left w:val="nil"/>
              <w:bottom w:val="nil"/>
              <w:right w:val="nil"/>
            </w:tcBorders>
            <w:shd w:val="clear" w:color="000000" w:fill="FFFFFF"/>
            <w:noWrap/>
            <w:hideMark/>
          </w:tcPr>
          <w:p w14:paraId="60DDF4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55,0</w:t>
            </w:r>
          </w:p>
        </w:tc>
        <w:tc>
          <w:tcPr>
            <w:tcW w:w="413" w:type="pct"/>
            <w:tcBorders>
              <w:top w:val="nil"/>
              <w:left w:val="nil"/>
              <w:bottom w:val="single" w:sz="8" w:space="0" w:color="auto"/>
              <w:right w:val="nil"/>
            </w:tcBorders>
            <w:shd w:val="clear" w:color="000000" w:fill="FFFFFF"/>
            <w:noWrap/>
            <w:hideMark/>
          </w:tcPr>
          <w:p w14:paraId="3E06BA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(9,3)</w:t>
            </w:r>
          </w:p>
        </w:tc>
        <w:tc>
          <w:tcPr>
            <w:tcW w:w="161" w:type="pct"/>
            <w:tcBorders>
              <w:top w:val="nil"/>
              <w:left w:val="nil"/>
              <w:bottom w:val="nil"/>
              <w:right w:val="nil"/>
            </w:tcBorders>
            <w:shd w:val="clear" w:color="000000" w:fill="FFFFFF"/>
            <w:noWrap/>
            <w:hideMark/>
          </w:tcPr>
          <w:p w14:paraId="2322AF3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23,6</w:t>
            </w:r>
          </w:p>
        </w:tc>
        <w:tc>
          <w:tcPr>
            <w:tcW w:w="313" w:type="pct"/>
            <w:tcBorders>
              <w:top w:val="nil"/>
              <w:left w:val="nil"/>
              <w:bottom w:val="single" w:sz="8" w:space="0" w:color="auto"/>
              <w:right w:val="nil"/>
            </w:tcBorders>
            <w:shd w:val="clear" w:color="000000" w:fill="FFFFFF"/>
            <w:noWrap/>
            <w:hideMark/>
          </w:tcPr>
          <w:p w14:paraId="04A8A5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(15,8)</w:t>
            </w:r>
          </w:p>
        </w:tc>
        <w:tc>
          <w:tcPr>
            <w:tcW w:w="702" w:type="pct"/>
            <w:tcBorders>
              <w:top w:val="nil"/>
              <w:left w:val="nil"/>
              <w:bottom w:val="nil"/>
              <w:right w:val="nil"/>
            </w:tcBorders>
            <w:shd w:val="clear" w:color="000000" w:fill="FFFFFF"/>
            <w:noWrap/>
            <w:hideMark/>
          </w:tcPr>
          <w:p w14:paraId="54E7B4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−31,4 (15,4)</w:t>
            </w:r>
          </w:p>
        </w:tc>
        <w:tc>
          <w:tcPr>
            <w:tcW w:w="821" w:type="pct"/>
            <w:tcBorders>
              <w:top w:val="nil"/>
              <w:left w:val="nil"/>
              <w:bottom w:val="nil"/>
              <w:right w:val="nil"/>
            </w:tcBorders>
            <w:shd w:val="clear" w:color="000000" w:fill="FFFFFF"/>
            <w:noWrap/>
            <w:hideMark/>
          </w:tcPr>
          <w:p w14:paraId="58132B4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−57,5 (26,0)</w:t>
            </w:r>
            <w:proofErr w:type="spellStart"/>
            <w:r w:rsidRPr="00367BEC">
              <w:rPr>
                <w:rFonts w:ascii="Times New Roman" w:hAnsi="Times New Roman"/>
                <w:b/>
                <w:color w:val="000000"/>
                <w:sz w:val="16"/>
                <w:vertAlign w:val="superscript"/>
              </w:rPr>
              <w:t>iii</w:t>
            </w:r>
            <w:proofErr w:type="spellEnd"/>
          </w:p>
        </w:tc>
      </w:tr>
      <w:tr w:rsidR="002E4D99" w:rsidRPr="00367BEC" w14:paraId="48B3D581" w14:textId="77777777" w:rsidTr="00CF1C1E">
        <w:trPr>
          <w:trHeight w:val="20"/>
        </w:trPr>
        <w:tc>
          <w:tcPr>
            <w:tcW w:w="674" w:type="pct"/>
            <w:tcBorders>
              <w:top w:val="single" w:sz="8" w:space="0" w:color="auto"/>
              <w:left w:val="nil"/>
              <w:bottom w:val="nil"/>
              <w:right w:val="nil"/>
            </w:tcBorders>
            <w:shd w:val="clear" w:color="000000" w:fill="FFFFFF"/>
            <w:noWrap/>
            <w:hideMark/>
          </w:tcPr>
          <w:p w14:paraId="74A835A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Samolsky</w:t>
            </w:r>
            <w:proofErr w:type="spellEnd"/>
            <w:r w:rsidRPr="00367BEC">
              <w:rPr>
                <w:rFonts w:ascii="Times New Roman" w:hAnsi="Times New Roman"/>
                <w:color w:val="000000"/>
                <w:sz w:val="16"/>
              </w:rPr>
              <w:t xml:space="preserve"> 2015</w:t>
            </w:r>
          </w:p>
        </w:tc>
        <w:tc>
          <w:tcPr>
            <w:tcW w:w="623" w:type="pct"/>
            <w:tcBorders>
              <w:top w:val="nil"/>
              <w:left w:val="nil"/>
              <w:bottom w:val="single" w:sz="8" w:space="0" w:color="auto"/>
              <w:right w:val="nil"/>
            </w:tcBorders>
            <w:shd w:val="clear" w:color="000000" w:fill="FFFFFF"/>
            <w:noWrap/>
            <w:hideMark/>
          </w:tcPr>
          <w:p w14:paraId="742049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single" w:sz="8" w:space="0" w:color="auto"/>
              <w:left w:val="nil"/>
              <w:bottom w:val="nil"/>
              <w:right w:val="nil"/>
            </w:tcBorders>
            <w:shd w:val="clear" w:color="000000" w:fill="FFFFFF"/>
            <w:noWrap/>
            <w:hideMark/>
          </w:tcPr>
          <w:p w14:paraId="159E4BEA" w14:textId="10690D94"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r w:rsidR="00401451" w:rsidRPr="00401451">
              <w:rPr>
                <w:rFonts w:ascii="Times New Roman" w:hAnsi="Times New Roman"/>
                <w:color w:val="000000"/>
                <w:sz w:val="16"/>
              </w:rPr>
              <w:t>EVN</w:t>
            </w:r>
          </w:p>
        </w:tc>
        <w:tc>
          <w:tcPr>
            <w:tcW w:w="161" w:type="pct"/>
            <w:tcBorders>
              <w:top w:val="single" w:sz="8" w:space="0" w:color="auto"/>
              <w:left w:val="nil"/>
              <w:bottom w:val="nil"/>
              <w:right w:val="nil"/>
            </w:tcBorders>
            <w:shd w:val="clear" w:color="000000" w:fill="FFFFFF"/>
            <w:noWrap/>
            <w:hideMark/>
          </w:tcPr>
          <w:p w14:paraId="74D316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6,0</w:t>
            </w:r>
          </w:p>
        </w:tc>
        <w:tc>
          <w:tcPr>
            <w:tcW w:w="413" w:type="pct"/>
            <w:tcBorders>
              <w:top w:val="nil"/>
              <w:left w:val="nil"/>
              <w:bottom w:val="single" w:sz="8" w:space="0" w:color="auto"/>
              <w:right w:val="nil"/>
            </w:tcBorders>
            <w:shd w:val="clear" w:color="000000" w:fill="FFFFFF"/>
            <w:noWrap/>
            <w:hideMark/>
          </w:tcPr>
          <w:p w14:paraId="61195C9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w:t>
            </w:r>
          </w:p>
        </w:tc>
        <w:tc>
          <w:tcPr>
            <w:tcW w:w="161" w:type="pct"/>
            <w:tcBorders>
              <w:top w:val="single" w:sz="8" w:space="0" w:color="auto"/>
              <w:left w:val="nil"/>
              <w:bottom w:val="nil"/>
              <w:right w:val="nil"/>
            </w:tcBorders>
            <w:shd w:val="clear" w:color="000000" w:fill="FFFFFF"/>
            <w:noWrap/>
            <w:hideMark/>
          </w:tcPr>
          <w:p w14:paraId="2502B9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w:t>
            </w:r>
          </w:p>
        </w:tc>
        <w:tc>
          <w:tcPr>
            <w:tcW w:w="313" w:type="pct"/>
            <w:tcBorders>
              <w:top w:val="nil"/>
              <w:left w:val="nil"/>
              <w:bottom w:val="single" w:sz="8" w:space="0" w:color="auto"/>
              <w:right w:val="nil"/>
            </w:tcBorders>
            <w:shd w:val="clear" w:color="000000" w:fill="FFFFFF"/>
            <w:noWrap/>
            <w:hideMark/>
          </w:tcPr>
          <w:p w14:paraId="748F20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w:t>
            </w:r>
          </w:p>
        </w:tc>
        <w:tc>
          <w:tcPr>
            <w:tcW w:w="702" w:type="pct"/>
            <w:tcBorders>
              <w:top w:val="single" w:sz="8" w:space="0" w:color="auto"/>
              <w:left w:val="nil"/>
              <w:bottom w:val="nil"/>
              <w:right w:val="nil"/>
            </w:tcBorders>
            <w:shd w:val="clear" w:color="000000" w:fill="FFFFFF"/>
            <w:noWrap/>
            <w:hideMark/>
          </w:tcPr>
          <w:p w14:paraId="31E53D2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−4,0</w:t>
            </w:r>
          </w:p>
        </w:tc>
        <w:tc>
          <w:tcPr>
            <w:tcW w:w="821" w:type="pct"/>
            <w:tcBorders>
              <w:top w:val="single" w:sz="8" w:space="0" w:color="auto"/>
              <w:left w:val="nil"/>
              <w:bottom w:val="nil"/>
              <w:right w:val="nil"/>
            </w:tcBorders>
            <w:shd w:val="clear" w:color="000000" w:fill="FFFFFF"/>
            <w:noWrap/>
            <w:hideMark/>
          </w:tcPr>
          <w:p w14:paraId="4268C75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−66,7</w:t>
            </w:r>
            <w:r w:rsidRPr="00367BEC">
              <w:rPr>
                <w:rFonts w:ascii="Times New Roman" w:hAnsi="Times New Roman"/>
                <w:b/>
                <w:color w:val="000000"/>
                <w:sz w:val="16"/>
                <w:vertAlign w:val="superscript"/>
              </w:rPr>
              <w:t>iii</w:t>
            </w:r>
          </w:p>
        </w:tc>
      </w:tr>
      <w:tr w:rsidR="002E4D99" w:rsidRPr="00367BEC" w14:paraId="41AB9A40" w14:textId="77777777" w:rsidTr="00CF1C1E">
        <w:trPr>
          <w:trHeight w:val="20"/>
        </w:trPr>
        <w:tc>
          <w:tcPr>
            <w:tcW w:w="674" w:type="pct"/>
            <w:tcBorders>
              <w:top w:val="single" w:sz="8" w:space="0" w:color="auto"/>
              <w:left w:val="nil"/>
              <w:bottom w:val="nil"/>
              <w:right w:val="nil"/>
            </w:tcBorders>
            <w:shd w:val="clear" w:color="000000" w:fill="FFFFFF"/>
            <w:noWrap/>
            <w:hideMark/>
          </w:tcPr>
          <w:p w14:paraId="361296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Strick</w:t>
            </w:r>
            <w:proofErr w:type="spellEnd"/>
            <w:r w:rsidRPr="00367BEC">
              <w:rPr>
                <w:rFonts w:ascii="Times New Roman" w:hAnsi="Times New Roman"/>
                <w:color w:val="000000"/>
                <w:sz w:val="16"/>
              </w:rPr>
              <w:t xml:space="preserve"> 2014</w:t>
            </w:r>
          </w:p>
        </w:tc>
        <w:tc>
          <w:tcPr>
            <w:tcW w:w="623" w:type="pct"/>
            <w:tcBorders>
              <w:top w:val="nil"/>
              <w:left w:val="nil"/>
              <w:bottom w:val="single" w:sz="4" w:space="0" w:color="D0CECE" w:themeColor="background2" w:themeShade="E6"/>
              <w:right w:val="nil"/>
            </w:tcBorders>
            <w:shd w:val="clear" w:color="000000" w:fill="FFFFFF"/>
            <w:noWrap/>
            <w:hideMark/>
          </w:tcPr>
          <w:p w14:paraId="022832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(3 m)</w:t>
            </w:r>
          </w:p>
        </w:tc>
        <w:tc>
          <w:tcPr>
            <w:tcW w:w="1132" w:type="pct"/>
            <w:tcBorders>
              <w:top w:val="single" w:sz="8" w:space="0" w:color="auto"/>
              <w:left w:val="nil"/>
              <w:bottom w:val="single" w:sz="4" w:space="0" w:color="D0CECE" w:themeColor="background2" w:themeShade="E6"/>
              <w:right w:val="nil"/>
            </w:tcBorders>
            <w:shd w:val="clear" w:color="000000" w:fill="FFFFFF"/>
            <w:noWrap/>
            <w:hideMark/>
          </w:tcPr>
          <w:p w14:paraId="5B195324" w14:textId="4927C39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w:t>
            </w:r>
            <w:r w:rsidR="00537209" w:rsidRPr="00367BEC">
              <w:rPr>
                <w:rFonts w:ascii="Times New Roman" w:hAnsi="Times New Roman"/>
                <w:color w:val="000000"/>
                <w:sz w:val="16"/>
              </w:rPr>
              <w:t>11</w:t>
            </w:r>
            <w:r w:rsidR="00537209">
              <w:rPr>
                <w:rFonts w:ascii="Times New Roman" w:hAnsi="Times New Roman"/>
                <w:color w:val="000000"/>
                <w:sz w:val="16"/>
              </w:rPr>
              <w:t>-</w:t>
            </w:r>
            <w:r w:rsidRPr="00367BEC">
              <w:rPr>
                <w:rFonts w:ascii="Times New Roman" w:hAnsi="Times New Roman"/>
                <w:color w:val="000000"/>
                <w:sz w:val="16"/>
              </w:rPr>
              <w:t>3d</w:t>
            </w:r>
          </w:p>
        </w:tc>
        <w:tc>
          <w:tcPr>
            <w:tcW w:w="161" w:type="pct"/>
            <w:tcBorders>
              <w:top w:val="single" w:sz="8" w:space="0" w:color="auto"/>
              <w:left w:val="nil"/>
              <w:bottom w:val="single" w:sz="4" w:space="0" w:color="D0CECE" w:themeColor="background2" w:themeShade="E6"/>
              <w:right w:val="nil"/>
            </w:tcBorders>
            <w:shd w:val="clear" w:color="000000" w:fill="FFFFFF"/>
            <w:noWrap/>
            <w:hideMark/>
          </w:tcPr>
          <w:p w14:paraId="75977C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w:t>
            </w:r>
          </w:p>
        </w:tc>
        <w:tc>
          <w:tcPr>
            <w:tcW w:w="413" w:type="pct"/>
            <w:tcBorders>
              <w:top w:val="nil"/>
              <w:left w:val="nil"/>
              <w:bottom w:val="single" w:sz="4" w:space="0" w:color="D0CECE" w:themeColor="background2" w:themeShade="E6"/>
              <w:right w:val="nil"/>
            </w:tcBorders>
            <w:shd w:val="clear" w:color="000000" w:fill="FFFFFF"/>
            <w:noWrap/>
            <w:hideMark/>
          </w:tcPr>
          <w:p w14:paraId="4F9A89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61" w:type="pct"/>
            <w:tcBorders>
              <w:top w:val="single" w:sz="8" w:space="0" w:color="auto"/>
              <w:left w:val="nil"/>
              <w:bottom w:val="single" w:sz="4" w:space="0" w:color="D0CECE" w:themeColor="background2" w:themeShade="E6"/>
              <w:right w:val="nil"/>
            </w:tcBorders>
            <w:shd w:val="clear" w:color="000000" w:fill="FFFFFF"/>
            <w:noWrap/>
            <w:hideMark/>
          </w:tcPr>
          <w:p w14:paraId="769DB2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4,4</w:t>
            </w:r>
          </w:p>
        </w:tc>
        <w:tc>
          <w:tcPr>
            <w:tcW w:w="313" w:type="pct"/>
            <w:tcBorders>
              <w:top w:val="nil"/>
              <w:left w:val="nil"/>
              <w:bottom w:val="single" w:sz="4" w:space="0" w:color="D0CECE" w:themeColor="background2" w:themeShade="E6"/>
              <w:right w:val="nil"/>
            </w:tcBorders>
            <w:shd w:val="clear" w:color="000000" w:fill="FFFFFF"/>
            <w:noWrap/>
            <w:hideMark/>
          </w:tcPr>
          <w:p w14:paraId="1AD51B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w:t>
            </w:r>
          </w:p>
        </w:tc>
        <w:tc>
          <w:tcPr>
            <w:tcW w:w="702" w:type="pct"/>
            <w:tcBorders>
              <w:top w:val="single" w:sz="8" w:space="0" w:color="auto"/>
              <w:left w:val="nil"/>
              <w:bottom w:val="single" w:sz="4" w:space="0" w:color="D0CECE" w:themeColor="background2" w:themeShade="E6"/>
              <w:right w:val="nil"/>
            </w:tcBorders>
            <w:shd w:val="clear" w:color="000000" w:fill="FFFFFF"/>
            <w:noWrap/>
            <w:hideMark/>
          </w:tcPr>
          <w:p w14:paraId="7C81AA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−2,4</w:t>
            </w:r>
          </w:p>
        </w:tc>
        <w:tc>
          <w:tcPr>
            <w:tcW w:w="821" w:type="pct"/>
            <w:tcBorders>
              <w:top w:val="single" w:sz="8" w:space="0" w:color="auto"/>
              <w:left w:val="nil"/>
              <w:bottom w:val="single" w:sz="4" w:space="0" w:color="D0CECE" w:themeColor="background2" w:themeShade="E6"/>
              <w:right w:val="nil"/>
            </w:tcBorders>
            <w:shd w:val="clear" w:color="000000" w:fill="FFFFFF"/>
            <w:noWrap/>
            <w:hideMark/>
          </w:tcPr>
          <w:p w14:paraId="156E407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−35,3</w:t>
            </w:r>
            <w:r w:rsidRPr="00367BEC">
              <w:rPr>
                <w:rFonts w:ascii="Times New Roman" w:hAnsi="Times New Roman"/>
                <w:b/>
                <w:color w:val="000000"/>
                <w:sz w:val="16"/>
                <w:vertAlign w:val="superscript"/>
              </w:rPr>
              <w:t>iii</w:t>
            </w:r>
          </w:p>
        </w:tc>
      </w:tr>
      <w:tr w:rsidR="002E4D99" w:rsidRPr="00367BEC" w14:paraId="3FDD4958" w14:textId="77777777" w:rsidTr="00CF1C1E">
        <w:trPr>
          <w:trHeight w:val="20"/>
        </w:trPr>
        <w:tc>
          <w:tcPr>
            <w:tcW w:w="674" w:type="pct"/>
            <w:tcBorders>
              <w:top w:val="nil"/>
              <w:left w:val="nil"/>
              <w:bottom w:val="nil"/>
              <w:right w:val="nil"/>
            </w:tcBorders>
            <w:shd w:val="clear" w:color="000000" w:fill="FFFFFF"/>
            <w:noWrap/>
            <w:hideMark/>
          </w:tcPr>
          <w:p w14:paraId="6F49699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single" w:sz="4" w:space="0" w:color="D0CECE" w:themeColor="background2" w:themeShade="E6"/>
              <w:left w:val="nil"/>
              <w:bottom w:val="single" w:sz="8" w:space="0" w:color="auto"/>
              <w:right w:val="nil"/>
            </w:tcBorders>
            <w:shd w:val="clear" w:color="000000" w:fill="FFFFFF"/>
            <w:noWrap/>
            <w:hideMark/>
          </w:tcPr>
          <w:p w14:paraId="6E654FC6" w14:textId="624A50B9"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(12</w:t>
            </w:r>
            <w:r w:rsidR="000D16A0">
              <w:rPr>
                <w:rFonts w:ascii="Times New Roman" w:hAnsi="Times New Roman"/>
                <w:color w:val="000000"/>
                <w:sz w:val="16"/>
              </w:rPr>
              <w:t xml:space="preserve"> </w:t>
            </w:r>
            <w:r w:rsidRPr="00367BEC">
              <w:rPr>
                <w:rFonts w:ascii="Times New Roman" w:hAnsi="Times New Roman"/>
                <w:color w:val="000000"/>
                <w:sz w:val="16"/>
              </w:rPr>
              <w:t>m)</w:t>
            </w:r>
          </w:p>
        </w:tc>
        <w:tc>
          <w:tcPr>
            <w:tcW w:w="1132" w:type="pct"/>
            <w:tcBorders>
              <w:top w:val="single" w:sz="4" w:space="0" w:color="D0CECE" w:themeColor="background2" w:themeShade="E6"/>
              <w:left w:val="nil"/>
              <w:bottom w:val="nil"/>
              <w:right w:val="nil"/>
            </w:tcBorders>
            <w:shd w:val="clear" w:color="000000" w:fill="FFFFFF"/>
            <w:noWrap/>
            <w:hideMark/>
          </w:tcPr>
          <w:p w14:paraId="3FB2517F" w14:textId="045E5F71"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w:t>
            </w:r>
            <w:r w:rsidR="00537209" w:rsidRPr="00367BEC">
              <w:rPr>
                <w:rFonts w:ascii="Times New Roman" w:hAnsi="Times New Roman"/>
                <w:color w:val="000000"/>
                <w:sz w:val="16"/>
              </w:rPr>
              <w:t>11</w:t>
            </w:r>
            <w:r w:rsidR="00537209">
              <w:rPr>
                <w:rFonts w:ascii="Times New Roman" w:hAnsi="Times New Roman"/>
                <w:color w:val="000000"/>
                <w:sz w:val="16"/>
              </w:rPr>
              <w:t>-</w:t>
            </w:r>
            <w:r w:rsidRPr="00367BEC">
              <w:rPr>
                <w:rFonts w:ascii="Times New Roman" w:hAnsi="Times New Roman"/>
                <w:color w:val="000000"/>
                <w:sz w:val="16"/>
              </w:rPr>
              <w:t>3d</w:t>
            </w:r>
          </w:p>
        </w:tc>
        <w:tc>
          <w:tcPr>
            <w:tcW w:w="161" w:type="pct"/>
            <w:tcBorders>
              <w:top w:val="single" w:sz="4" w:space="0" w:color="D0CECE" w:themeColor="background2" w:themeShade="E6"/>
              <w:left w:val="nil"/>
              <w:bottom w:val="nil"/>
              <w:right w:val="nil"/>
            </w:tcBorders>
            <w:shd w:val="clear" w:color="000000" w:fill="FFFFFF"/>
            <w:noWrap/>
            <w:hideMark/>
          </w:tcPr>
          <w:p w14:paraId="36ED44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6,7</w:t>
            </w:r>
          </w:p>
        </w:tc>
        <w:tc>
          <w:tcPr>
            <w:tcW w:w="413" w:type="pct"/>
            <w:tcBorders>
              <w:top w:val="single" w:sz="4" w:space="0" w:color="D0CECE" w:themeColor="background2" w:themeShade="E6"/>
              <w:left w:val="nil"/>
              <w:bottom w:val="single" w:sz="8" w:space="0" w:color="auto"/>
              <w:right w:val="nil"/>
            </w:tcBorders>
            <w:shd w:val="clear" w:color="000000" w:fill="FFFFFF"/>
            <w:noWrap/>
            <w:hideMark/>
          </w:tcPr>
          <w:p w14:paraId="476EF0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(1,6)</w:t>
            </w:r>
          </w:p>
        </w:tc>
        <w:tc>
          <w:tcPr>
            <w:tcW w:w="161" w:type="pct"/>
            <w:tcBorders>
              <w:top w:val="single" w:sz="4" w:space="0" w:color="D0CECE" w:themeColor="background2" w:themeShade="E6"/>
              <w:left w:val="nil"/>
              <w:bottom w:val="nil"/>
              <w:right w:val="nil"/>
            </w:tcBorders>
            <w:shd w:val="clear" w:color="000000" w:fill="FFFFFF"/>
            <w:noWrap/>
            <w:hideMark/>
          </w:tcPr>
          <w:p w14:paraId="06070C4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w:t>
            </w:r>
          </w:p>
        </w:tc>
        <w:tc>
          <w:tcPr>
            <w:tcW w:w="313" w:type="pct"/>
            <w:tcBorders>
              <w:top w:val="single" w:sz="4" w:space="0" w:color="D0CECE" w:themeColor="background2" w:themeShade="E6"/>
              <w:left w:val="nil"/>
              <w:bottom w:val="single" w:sz="8" w:space="0" w:color="auto"/>
              <w:right w:val="nil"/>
            </w:tcBorders>
            <w:shd w:val="clear" w:color="000000" w:fill="FFFFFF"/>
            <w:noWrap/>
            <w:hideMark/>
          </w:tcPr>
          <w:p w14:paraId="576DDA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w:t>
            </w:r>
          </w:p>
        </w:tc>
        <w:tc>
          <w:tcPr>
            <w:tcW w:w="702" w:type="pct"/>
            <w:tcBorders>
              <w:top w:val="single" w:sz="4" w:space="0" w:color="D0CECE" w:themeColor="background2" w:themeShade="E6"/>
              <w:left w:val="nil"/>
              <w:bottom w:val="nil"/>
              <w:right w:val="nil"/>
            </w:tcBorders>
            <w:shd w:val="clear" w:color="000000" w:fill="FFFFFF"/>
            <w:noWrap/>
            <w:hideMark/>
          </w:tcPr>
          <w:p w14:paraId="2C6445E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−3,2</w:t>
            </w:r>
          </w:p>
        </w:tc>
        <w:tc>
          <w:tcPr>
            <w:tcW w:w="821" w:type="pct"/>
            <w:tcBorders>
              <w:top w:val="single" w:sz="4" w:space="0" w:color="D0CECE" w:themeColor="background2" w:themeShade="E6"/>
              <w:left w:val="nil"/>
              <w:bottom w:val="nil"/>
              <w:right w:val="nil"/>
            </w:tcBorders>
            <w:shd w:val="clear" w:color="000000" w:fill="FFFFFF"/>
            <w:noWrap/>
            <w:hideMark/>
          </w:tcPr>
          <w:p w14:paraId="1DD9995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−47,8</w:t>
            </w:r>
            <w:r w:rsidRPr="00367BEC">
              <w:rPr>
                <w:rFonts w:ascii="Times New Roman" w:hAnsi="Times New Roman"/>
                <w:b/>
                <w:color w:val="000000"/>
                <w:sz w:val="16"/>
                <w:vertAlign w:val="superscript"/>
              </w:rPr>
              <w:t>iii</w:t>
            </w:r>
          </w:p>
        </w:tc>
      </w:tr>
      <w:tr w:rsidR="002E4D99" w:rsidRPr="00367BEC" w14:paraId="414A3CB8" w14:textId="77777777" w:rsidTr="00CF1C1E">
        <w:trPr>
          <w:trHeight w:val="20"/>
        </w:trPr>
        <w:tc>
          <w:tcPr>
            <w:tcW w:w="674" w:type="pct"/>
            <w:tcBorders>
              <w:top w:val="single" w:sz="8" w:space="0" w:color="auto"/>
              <w:left w:val="nil"/>
              <w:bottom w:val="nil"/>
              <w:right w:val="nil"/>
            </w:tcBorders>
            <w:shd w:val="clear" w:color="000000" w:fill="FFFFFF"/>
            <w:noWrap/>
            <w:hideMark/>
          </w:tcPr>
          <w:p w14:paraId="275396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Schwittay</w:t>
            </w:r>
            <w:proofErr w:type="spellEnd"/>
            <w:r w:rsidRPr="00367BEC">
              <w:rPr>
                <w:rFonts w:ascii="Times New Roman" w:hAnsi="Times New Roman"/>
                <w:color w:val="000000"/>
                <w:sz w:val="16"/>
              </w:rPr>
              <w:t xml:space="preserve"> 2013</w:t>
            </w:r>
          </w:p>
        </w:tc>
        <w:tc>
          <w:tcPr>
            <w:tcW w:w="623" w:type="pct"/>
            <w:tcBorders>
              <w:top w:val="nil"/>
              <w:left w:val="nil"/>
              <w:bottom w:val="single" w:sz="4" w:space="0" w:color="D0CECE" w:themeColor="background2" w:themeShade="E6"/>
              <w:right w:val="nil"/>
            </w:tcBorders>
            <w:shd w:val="clear" w:color="000000" w:fill="FFFFFF"/>
            <w:noWrap/>
            <w:hideMark/>
          </w:tcPr>
          <w:p w14:paraId="4CC27F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single" w:sz="8" w:space="0" w:color="auto"/>
              <w:left w:val="nil"/>
              <w:bottom w:val="single" w:sz="4" w:space="0" w:color="D0CECE" w:themeColor="background2" w:themeShade="E6"/>
              <w:right w:val="nil"/>
            </w:tcBorders>
            <w:shd w:val="clear" w:color="000000" w:fill="FFFFFF"/>
            <w:noWrap/>
            <w:hideMark/>
          </w:tcPr>
          <w:p w14:paraId="5CA41B23" w14:textId="56C7B6BB"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w:t>
            </w:r>
            <w:r w:rsidR="00537209" w:rsidRPr="00367BEC">
              <w:rPr>
                <w:rFonts w:ascii="Times New Roman" w:hAnsi="Times New Roman"/>
                <w:color w:val="000000"/>
                <w:sz w:val="16"/>
              </w:rPr>
              <w:t>11</w:t>
            </w:r>
            <w:r w:rsidR="00537209">
              <w:rPr>
                <w:rFonts w:ascii="Times New Roman" w:hAnsi="Times New Roman"/>
                <w:color w:val="000000"/>
                <w:sz w:val="16"/>
              </w:rPr>
              <w:t>-</w:t>
            </w:r>
            <w:r w:rsidRPr="00367BEC">
              <w:rPr>
                <w:rFonts w:ascii="Times New Roman" w:hAnsi="Times New Roman"/>
                <w:color w:val="000000"/>
                <w:sz w:val="16"/>
              </w:rPr>
              <w:t xml:space="preserve">3d </w:t>
            </w:r>
          </w:p>
        </w:tc>
        <w:tc>
          <w:tcPr>
            <w:tcW w:w="161" w:type="pct"/>
            <w:tcBorders>
              <w:top w:val="single" w:sz="8" w:space="0" w:color="auto"/>
              <w:left w:val="nil"/>
              <w:bottom w:val="single" w:sz="4" w:space="0" w:color="D0CECE" w:themeColor="background2" w:themeShade="E6"/>
              <w:right w:val="nil"/>
            </w:tcBorders>
            <w:shd w:val="clear" w:color="000000" w:fill="FFFFFF"/>
            <w:noWrap/>
            <w:hideMark/>
          </w:tcPr>
          <w:p w14:paraId="1EB202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7,0</w:t>
            </w:r>
          </w:p>
        </w:tc>
        <w:tc>
          <w:tcPr>
            <w:tcW w:w="413" w:type="pct"/>
            <w:tcBorders>
              <w:top w:val="nil"/>
              <w:left w:val="nil"/>
              <w:bottom w:val="single" w:sz="4" w:space="0" w:color="D0CECE" w:themeColor="background2" w:themeShade="E6"/>
              <w:right w:val="nil"/>
            </w:tcBorders>
            <w:shd w:val="clear" w:color="000000" w:fill="FFFFFF"/>
            <w:noWrap/>
            <w:hideMark/>
          </w:tcPr>
          <w:p w14:paraId="2E17D5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w:t>
            </w:r>
          </w:p>
        </w:tc>
        <w:tc>
          <w:tcPr>
            <w:tcW w:w="161" w:type="pct"/>
            <w:tcBorders>
              <w:top w:val="single" w:sz="8" w:space="0" w:color="auto"/>
              <w:left w:val="nil"/>
              <w:bottom w:val="single" w:sz="4" w:space="0" w:color="D0CECE" w:themeColor="background2" w:themeShade="E6"/>
              <w:right w:val="nil"/>
            </w:tcBorders>
            <w:shd w:val="clear" w:color="000000" w:fill="FFFFFF"/>
            <w:noWrap/>
            <w:hideMark/>
          </w:tcPr>
          <w:p w14:paraId="636E1A0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w:t>
            </w:r>
          </w:p>
        </w:tc>
        <w:tc>
          <w:tcPr>
            <w:tcW w:w="313" w:type="pct"/>
            <w:tcBorders>
              <w:top w:val="nil"/>
              <w:left w:val="nil"/>
              <w:bottom w:val="single" w:sz="4" w:space="0" w:color="D0CECE" w:themeColor="background2" w:themeShade="E6"/>
              <w:right w:val="nil"/>
            </w:tcBorders>
            <w:shd w:val="clear" w:color="000000" w:fill="FFFFFF"/>
            <w:noWrap/>
            <w:hideMark/>
          </w:tcPr>
          <w:p w14:paraId="11E87A5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w:t>
            </w:r>
          </w:p>
        </w:tc>
        <w:tc>
          <w:tcPr>
            <w:tcW w:w="702" w:type="pct"/>
            <w:tcBorders>
              <w:top w:val="single" w:sz="8" w:space="0" w:color="auto"/>
              <w:left w:val="nil"/>
              <w:bottom w:val="single" w:sz="4" w:space="0" w:color="D0CECE" w:themeColor="background2" w:themeShade="E6"/>
              <w:right w:val="nil"/>
            </w:tcBorders>
            <w:shd w:val="clear" w:color="000000" w:fill="FFFFFF"/>
            <w:noWrap/>
            <w:hideMark/>
          </w:tcPr>
          <w:p w14:paraId="1EAB587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−3,9</w:t>
            </w:r>
          </w:p>
        </w:tc>
        <w:tc>
          <w:tcPr>
            <w:tcW w:w="821" w:type="pct"/>
            <w:tcBorders>
              <w:top w:val="single" w:sz="8" w:space="0" w:color="auto"/>
              <w:left w:val="nil"/>
              <w:bottom w:val="single" w:sz="4" w:space="0" w:color="D0CECE" w:themeColor="background2" w:themeShade="E6"/>
              <w:right w:val="nil"/>
            </w:tcBorders>
            <w:shd w:val="clear" w:color="000000" w:fill="FFFFFF"/>
            <w:noWrap/>
            <w:hideMark/>
          </w:tcPr>
          <w:p w14:paraId="2E6DB1C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−55,7</w:t>
            </w:r>
            <w:r w:rsidRPr="00367BEC">
              <w:rPr>
                <w:rFonts w:ascii="Times New Roman" w:hAnsi="Times New Roman"/>
                <w:b/>
                <w:color w:val="000000"/>
                <w:sz w:val="16"/>
                <w:vertAlign w:val="superscript"/>
              </w:rPr>
              <w:t>iii</w:t>
            </w:r>
          </w:p>
        </w:tc>
      </w:tr>
      <w:tr w:rsidR="002E4D99" w:rsidRPr="00367BEC" w14:paraId="039B558C" w14:textId="77777777" w:rsidTr="00CF1C1E">
        <w:trPr>
          <w:trHeight w:val="20"/>
        </w:trPr>
        <w:tc>
          <w:tcPr>
            <w:tcW w:w="674" w:type="pct"/>
            <w:tcBorders>
              <w:top w:val="nil"/>
              <w:left w:val="nil"/>
              <w:bottom w:val="single" w:sz="8" w:space="0" w:color="auto"/>
              <w:right w:val="nil"/>
            </w:tcBorders>
            <w:shd w:val="clear" w:color="000000" w:fill="FFFFFF"/>
            <w:noWrap/>
            <w:hideMark/>
          </w:tcPr>
          <w:p w14:paraId="58082A5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single" w:sz="4" w:space="0" w:color="D0CECE" w:themeColor="background2" w:themeShade="E6"/>
              <w:left w:val="nil"/>
              <w:bottom w:val="single" w:sz="8" w:space="0" w:color="auto"/>
              <w:right w:val="nil"/>
            </w:tcBorders>
            <w:shd w:val="clear" w:color="000000" w:fill="FFFFFF"/>
            <w:noWrap/>
            <w:hideMark/>
          </w:tcPr>
          <w:p w14:paraId="4C4E5B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w:t>
            </w:r>
            <w:proofErr w:type="spellStart"/>
            <w:r w:rsidRPr="00367BEC">
              <w:rPr>
                <w:rFonts w:ascii="Times New Roman" w:hAnsi="Times New Roman"/>
                <w:color w:val="000000"/>
                <w:sz w:val="16"/>
              </w:rPr>
              <w:t>PR</w:t>
            </w:r>
            <w:r w:rsidRPr="00367BEC">
              <w:rPr>
                <w:rFonts w:ascii="Times New Roman" w:hAnsi="Times New Roman"/>
                <w:b/>
                <w:color w:val="000000"/>
                <w:sz w:val="20"/>
                <w:vertAlign w:val="superscript"/>
              </w:rPr>
              <w:t>b</w:t>
            </w:r>
            <w:proofErr w:type="spellEnd"/>
          </w:p>
        </w:tc>
        <w:tc>
          <w:tcPr>
            <w:tcW w:w="1132" w:type="pct"/>
            <w:tcBorders>
              <w:top w:val="single" w:sz="4" w:space="0" w:color="D0CECE" w:themeColor="background2" w:themeShade="E6"/>
              <w:left w:val="nil"/>
              <w:bottom w:val="single" w:sz="8" w:space="0" w:color="auto"/>
              <w:right w:val="nil"/>
            </w:tcBorders>
            <w:shd w:val="clear" w:color="000000" w:fill="FFFFFF"/>
            <w:noWrap/>
            <w:hideMark/>
          </w:tcPr>
          <w:p w14:paraId="752A4028" w14:textId="695D5A2F"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w:t>
            </w:r>
            <w:r w:rsidR="00537209" w:rsidRPr="00367BEC">
              <w:rPr>
                <w:rFonts w:ascii="Times New Roman" w:hAnsi="Times New Roman"/>
                <w:color w:val="000000"/>
                <w:sz w:val="16"/>
              </w:rPr>
              <w:t>11</w:t>
            </w:r>
            <w:r w:rsidR="00537209">
              <w:rPr>
                <w:rFonts w:ascii="Times New Roman" w:hAnsi="Times New Roman"/>
                <w:color w:val="000000"/>
                <w:sz w:val="16"/>
              </w:rPr>
              <w:t>-</w:t>
            </w:r>
            <w:r w:rsidRPr="00367BEC">
              <w:rPr>
                <w:rFonts w:ascii="Times New Roman" w:hAnsi="Times New Roman"/>
                <w:color w:val="000000"/>
                <w:sz w:val="16"/>
              </w:rPr>
              <w:t xml:space="preserve">3d </w:t>
            </w:r>
          </w:p>
        </w:tc>
        <w:tc>
          <w:tcPr>
            <w:tcW w:w="161" w:type="pct"/>
            <w:tcBorders>
              <w:top w:val="single" w:sz="4" w:space="0" w:color="D0CECE" w:themeColor="background2" w:themeShade="E6"/>
              <w:left w:val="nil"/>
              <w:bottom w:val="single" w:sz="8" w:space="0" w:color="auto"/>
              <w:right w:val="nil"/>
            </w:tcBorders>
            <w:shd w:val="clear" w:color="000000" w:fill="FFFFFF"/>
            <w:noWrap/>
            <w:hideMark/>
          </w:tcPr>
          <w:p w14:paraId="70EC38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7,0</w:t>
            </w:r>
          </w:p>
        </w:tc>
        <w:tc>
          <w:tcPr>
            <w:tcW w:w="413" w:type="pct"/>
            <w:tcBorders>
              <w:top w:val="single" w:sz="4" w:space="0" w:color="D0CECE" w:themeColor="background2" w:themeShade="E6"/>
              <w:left w:val="nil"/>
              <w:bottom w:val="single" w:sz="8" w:space="0" w:color="auto"/>
              <w:right w:val="nil"/>
            </w:tcBorders>
            <w:shd w:val="clear" w:color="000000" w:fill="FFFFFF"/>
            <w:noWrap/>
            <w:hideMark/>
          </w:tcPr>
          <w:p w14:paraId="31384F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(1,6)</w:t>
            </w:r>
          </w:p>
        </w:tc>
        <w:tc>
          <w:tcPr>
            <w:tcW w:w="161" w:type="pct"/>
            <w:tcBorders>
              <w:top w:val="single" w:sz="4" w:space="0" w:color="D0CECE" w:themeColor="background2" w:themeShade="E6"/>
              <w:left w:val="nil"/>
              <w:bottom w:val="single" w:sz="8" w:space="0" w:color="auto"/>
              <w:right w:val="nil"/>
            </w:tcBorders>
            <w:shd w:val="clear" w:color="000000" w:fill="FFFFFF"/>
            <w:noWrap/>
            <w:hideMark/>
          </w:tcPr>
          <w:p w14:paraId="5841E7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3,4</w:t>
            </w:r>
          </w:p>
        </w:tc>
        <w:tc>
          <w:tcPr>
            <w:tcW w:w="313" w:type="pct"/>
            <w:tcBorders>
              <w:top w:val="single" w:sz="4" w:space="0" w:color="D0CECE" w:themeColor="background2" w:themeShade="E6"/>
              <w:left w:val="nil"/>
              <w:bottom w:val="single" w:sz="8" w:space="0" w:color="auto"/>
              <w:right w:val="nil"/>
            </w:tcBorders>
            <w:shd w:val="clear" w:color="000000" w:fill="FFFFFF"/>
            <w:noWrap/>
            <w:hideMark/>
          </w:tcPr>
          <w:p w14:paraId="7367AD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w:t>
            </w:r>
          </w:p>
        </w:tc>
        <w:tc>
          <w:tcPr>
            <w:tcW w:w="702" w:type="pct"/>
            <w:tcBorders>
              <w:top w:val="single" w:sz="4" w:space="0" w:color="D0CECE" w:themeColor="background2" w:themeShade="E6"/>
              <w:left w:val="nil"/>
              <w:bottom w:val="single" w:sz="8" w:space="0" w:color="auto"/>
              <w:right w:val="nil"/>
            </w:tcBorders>
            <w:shd w:val="clear" w:color="000000" w:fill="FFFFFF"/>
            <w:noWrap/>
            <w:hideMark/>
          </w:tcPr>
          <w:p w14:paraId="6B7B8A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−3,7</w:t>
            </w:r>
          </w:p>
        </w:tc>
        <w:tc>
          <w:tcPr>
            <w:tcW w:w="821" w:type="pct"/>
            <w:tcBorders>
              <w:top w:val="single" w:sz="4" w:space="0" w:color="D0CECE" w:themeColor="background2" w:themeShade="E6"/>
              <w:left w:val="nil"/>
              <w:bottom w:val="single" w:sz="8" w:space="0" w:color="auto"/>
              <w:right w:val="nil"/>
            </w:tcBorders>
            <w:shd w:val="clear" w:color="000000" w:fill="FFFFFF"/>
            <w:noWrap/>
            <w:hideMark/>
          </w:tcPr>
          <w:p w14:paraId="7D7EC6BE"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-52,9</w:t>
            </w:r>
            <w:r w:rsidRPr="00367BEC">
              <w:rPr>
                <w:rFonts w:ascii="Times New Roman" w:hAnsi="Times New Roman"/>
                <w:b/>
                <w:color w:val="000000"/>
                <w:sz w:val="16"/>
                <w:vertAlign w:val="superscript"/>
              </w:rPr>
              <w:t>iii</w:t>
            </w:r>
          </w:p>
        </w:tc>
      </w:tr>
      <w:tr w:rsidR="002E4D99" w:rsidRPr="00367BEC" w14:paraId="1161027A" w14:textId="77777777" w:rsidTr="00CF1C1E">
        <w:trPr>
          <w:trHeight w:val="20"/>
        </w:trPr>
        <w:tc>
          <w:tcPr>
            <w:tcW w:w="674" w:type="pct"/>
            <w:tcBorders>
              <w:top w:val="nil"/>
              <w:left w:val="nil"/>
              <w:bottom w:val="nil"/>
              <w:right w:val="nil"/>
            </w:tcBorders>
            <w:shd w:val="clear" w:color="000000" w:fill="FFFFFF"/>
            <w:noWrap/>
            <w:hideMark/>
          </w:tcPr>
          <w:p w14:paraId="792D8C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López 2016</w:t>
            </w:r>
          </w:p>
        </w:tc>
        <w:tc>
          <w:tcPr>
            <w:tcW w:w="623" w:type="pct"/>
            <w:tcBorders>
              <w:top w:val="nil"/>
              <w:left w:val="nil"/>
              <w:bottom w:val="single" w:sz="8" w:space="0" w:color="auto"/>
              <w:right w:val="nil"/>
            </w:tcBorders>
            <w:shd w:val="clear" w:color="000000" w:fill="FFFFFF"/>
            <w:noWrap/>
            <w:hideMark/>
          </w:tcPr>
          <w:p w14:paraId="636DAD1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nil"/>
              <w:left w:val="nil"/>
              <w:bottom w:val="nil"/>
              <w:right w:val="nil"/>
            </w:tcBorders>
            <w:shd w:val="clear" w:color="000000" w:fill="FFFFFF"/>
            <w:noWrap/>
            <w:hideMark/>
          </w:tcPr>
          <w:p w14:paraId="019609ED" w14:textId="3D59B0D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r w:rsidR="00401451">
              <w:rPr>
                <w:rFonts w:ascii="Times New Roman" w:hAnsi="Times New Roman"/>
                <w:color w:val="000000"/>
                <w:sz w:val="16"/>
              </w:rPr>
              <w:t>EVA</w:t>
            </w:r>
            <w:r w:rsidR="00401451" w:rsidRPr="00367BEC">
              <w:rPr>
                <w:rFonts w:ascii="Times New Roman" w:hAnsi="Times New Roman"/>
                <w:color w:val="000000"/>
                <w:sz w:val="16"/>
              </w:rPr>
              <w:t xml:space="preserve"> </w:t>
            </w:r>
          </w:p>
        </w:tc>
        <w:tc>
          <w:tcPr>
            <w:tcW w:w="161" w:type="pct"/>
            <w:tcBorders>
              <w:top w:val="nil"/>
              <w:left w:val="nil"/>
              <w:bottom w:val="single" w:sz="8" w:space="0" w:color="auto"/>
              <w:right w:val="nil"/>
            </w:tcBorders>
            <w:shd w:val="clear" w:color="000000" w:fill="FFFFFF"/>
            <w:noWrap/>
            <w:hideMark/>
          </w:tcPr>
          <w:p w14:paraId="74076FE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7,2</w:t>
            </w:r>
          </w:p>
        </w:tc>
        <w:tc>
          <w:tcPr>
            <w:tcW w:w="413" w:type="pct"/>
            <w:tcBorders>
              <w:top w:val="nil"/>
              <w:left w:val="nil"/>
              <w:bottom w:val="single" w:sz="8" w:space="0" w:color="auto"/>
              <w:right w:val="nil"/>
            </w:tcBorders>
            <w:shd w:val="clear" w:color="000000" w:fill="FFFFFF"/>
            <w:noWrap/>
            <w:hideMark/>
          </w:tcPr>
          <w:p w14:paraId="5C5D1A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w:t>
            </w:r>
          </w:p>
        </w:tc>
        <w:tc>
          <w:tcPr>
            <w:tcW w:w="161" w:type="pct"/>
            <w:tcBorders>
              <w:top w:val="nil"/>
              <w:left w:val="nil"/>
              <w:bottom w:val="single" w:sz="8" w:space="0" w:color="auto"/>
              <w:right w:val="nil"/>
            </w:tcBorders>
            <w:shd w:val="clear" w:color="000000" w:fill="FFFFFF"/>
            <w:noWrap/>
            <w:hideMark/>
          </w:tcPr>
          <w:p w14:paraId="7ADF076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3,3</w:t>
            </w:r>
          </w:p>
        </w:tc>
        <w:tc>
          <w:tcPr>
            <w:tcW w:w="313" w:type="pct"/>
            <w:tcBorders>
              <w:top w:val="nil"/>
              <w:left w:val="nil"/>
              <w:bottom w:val="single" w:sz="8" w:space="0" w:color="auto"/>
              <w:right w:val="nil"/>
            </w:tcBorders>
            <w:shd w:val="clear" w:color="000000" w:fill="FFFFFF"/>
            <w:noWrap/>
            <w:hideMark/>
          </w:tcPr>
          <w:p w14:paraId="592B1C2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w:t>
            </w:r>
          </w:p>
        </w:tc>
        <w:tc>
          <w:tcPr>
            <w:tcW w:w="702" w:type="pct"/>
            <w:tcBorders>
              <w:top w:val="nil"/>
              <w:left w:val="nil"/>
              <w:bottom w:val="single" w:sz="8" w:space="0" w:color="auto"/>
              <w:right w:val="nil"/>
            </w:tcBorders>
            <w:shd w:val="clear" w:color="000000" w:fill="FFFFFF"/>
            <w:noWrap/>
            <w:hideMark/>
          </w:tcPr>
          <w:p w14:paraId="65E4178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−3,9</w:t>
            </w:r>
          </w:p>
        </w:tc>
        <w:tc>
          <w:tcPr>
            <w:tcW w:w="821" w:type="pct"/>
            <w:tcBorders>
              <w:top w:val="nil"/>
              <w:left w:val="nil"/>
              <w:bottom w:val="single" w:sz="8" w:space="0" w:color="auto"/>
              <w:right w:val="nil"/>
            </w:tcBorders>
            <w:shd w:val="clear" w:color="000000" w:fill="FFFFFF"/>
            <w:noWrap/>
            <w:hideMark/>
          </w:tcPr>
          <w:p w14:paraId="7A68611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-54,2</w:t>
            </w:r>
            <w:r w:rsidRPr="00367BEC">
              <w:rPr>
                <w:rFonts w:ascii="Times New Roman" w:hAnsi="Times New Roman"/>
                <w:b/>
                <w:color w:val="000000"/>
                <w:sz w:val="16"/>
                <w:vertAlign w:val="superscript"/>
              </w:rPr>
              <w:t>iii</w:t>
            </w:r>
          </w:p>
        </w:tc>
      </w:tr>
      <w:tr w:rsidR="002E4D99" w:rsidRPr="00367BEC" w14:paraId="1E688926" w14:textId="77777777" w:rsidTr="00CF1C1E">
        <w:trPr>
          <w:trHeight w:val="20"/>
        </w:trPr>
        <w:tc>
          <w:tcPr>
            <w:tcW w:w="674" w:type="pct"/>
            <w:tcBorders>
              <w:top w:val="single" w:sz="8" w:space="0" w:color="auto"/>
              <w:left w:val="nil"/>
              <w:bottom w:val="single" w:sz="8" w:space="0" w:color="auto"/>
              <w:right w:val="nil"/>
            </w:tcBorders>
            <w:shd w:val="clear" w:color="000000" w:fill="FFFFFF"/>
            <w:noWrap/>
            <w:hideMark/>
          </w:tcPr>
          <w:p w14:paraId="51A8BD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Brunetti 2016</w:t>
            </w:r>
          </w:p>
        </w:tc>
        <w:tc>
          <w:tcPr>
            <w:tcW w:w="623" w:type="pct"/>
            <w:tcBorders>
              <w:top w:val="nil"/>
              <w:left w:val="nil"/>
              <w:bottom w:val="single" w:sz="8" w:space="0" w:color="auto"/>
              <w:right w:val="nil"/>
            </w:tcBorders>
            <w:shd w:val="clear" w:color="000000" w:fill="FFFFFF"/>
            <w:noWrap/>
            <w:hideMark/>
          </w:tcPr>
          <w:p w14:paraId="517857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single" w:sz="8" w:space="0" w:color="auto"/>
              <w:left w:val="nil"/>
              <w:bottom w:val="single" w:sz="8" w:space="0" w:color="auto"/>
              <w:right w:val="nil"/>
            </w:tcBorders>
            <w:shd w:val="clear" w:color="000000" w:fill="FFFFFF"/>
            <w:noWrap/>
            <w:hideMark/>
          </w:tcPr>
          <w:p w14:paraId="10C516E6" w14:textId="34E1F3EF"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r w:rsidR="00401451" w:rsidRPr="00401451">
              <w:rPr>
                <w:rFonts w:ascii="Times New Roman" w:hAnsi="Times New Roman"/>
                <w:color w:val="000000"/>
                <w:sz w:val="16"/>
              </w:rPr>
              <w:t>EVN</w:t>
            </w:r>
          </w:p>
        </w:tc>
        <w:tc>
          <w:tcPr>
            <w:tcW w:w="161" w:type="pct"/>
            <w:tcBorders>
              <w:top w:val="nil"/>
              <w:left w:val="nil"/>
              <w:bottom w:val="single" w:sz="8" w:space="0" w:color="auto"/>
              <w:right w:val="nil"/>
            </w:tcBorders>
            <w:shd w:val="clear" w:color="000000" w:fill="FFFFFF"/>
            <w:noWrap/>
            <w:hideMark/>
          </w:tcPr>
          <w:p w14:paraId="740C1D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7,8</w:t>
            </w:r>
          </w:p>
        </w:tc>
        <w:tc>
          <w:tcPr>
            <w:tcW w:w="413" w:type="pct"/>
            <w:tcBorders>
              <w:top w:val="nil"/>
              <w:left w:val="nil"/>
              <w:bottom w:val="single" w:sz="8" w:space="0" w:color="auto"/>
              <w:right w:val="nil"/>
            </w:tcBorders>
            <w:shd w:val="clear" w:color="000000" w:fill="FFFFFF"/>
            <w:noWrap/>
            <w:hideMark/>
          </w:tcPr>
          <w:p w14:paraId="0FCB9D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61" w:type="pct"/>
            <w:tcBorders>
              <w:top w:val="nil"/>
              <w:left w:val="nil"/>
              <w:bottom w:val="single" w:sz="8" w:space="0" w:color="auto"/>
              <w:right w:val="nil"/>
            </w:tcBorders>
            <w:shd w:val="clear" w:color="000000" w:fill="FFFFFF"/>
            <w:noWrap/>
            <w:hideMark/>
          </w:tcPr>
          <w:p w14:paraId="1174BB6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0,8</w:t>
            </w:r>
          </w:p>
        </w:tc>
        <w:tc>
          <w:tcPr>
            <w:tcW w:w="313" w:type="pct"/>
            <w:tcBorders>
              <w:top w:val="nil"/>
              <w:left w:val="nil"/>
              <w:bottom w:val="single" w:sz="8" w:space="0" w:color="auto"/>
              <w:right w:val="nil"/>
            </w:tcBorders>
            <w:shd w:val="clear" w:color="000000" w:fill="FFFFFF"/>
            <w:noWrap/>
            <w:hideMark/>
          </w:tcPr>
          <w:p w14:paraId="4645F8C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single" w:sz="8" w:space="0" w:color="auto"/>
              <w:right w:val="nil"/>
            </w:tcBorders>
            <w:shd w:val="clear" w:color="000000" w:fill="FFFFFF"/>
            <w:noWrap/>
            <w:hideMark/>
          </w:tcPr>
          <w:p w14:paraId="05665B3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−7,0</w:t>
            </w:r>
          </w:p>
        </w:tc>
        <w:tc>
          <w:tcPr>
            <w:tcW w:w="821" w:type="pct"/>
            <w:tcBorders>
              <w:top w:val="nil"/>
              <w:left w:val="nil"/>
              <w:bottom w:val="single" w:sz="8" w:space="0" w:color="auto"/>
              <w:right w:val="nil"/>
            </w:tcBorders>
            <w:shd w:val="clear" w:color="000000" w:fill="FFFFFF"/>
            <w:noWrap/>
            <w:hideMark/>
          </w:tcPr>
          <w:p w14:paraId="42C5194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−89,7</w:t>
            </w:r>
            <w:r w:rsidRPr="00367BEC">
              <w:rPr>
                <w:rFonts w:ascii="Times New Roman" w:hAnsi="Times New Roman"/>
                <w:b/>
                <w:color w:val="000000"/>
                <w:sz w:val="16"/>
                <w:vertAlign w:val="superscript"/>
              </w:rPr>
              <w:t>ii</w:t>
            </w:r>
          </w:p>
        </w:tc>
      </w:tr>
      <w:tr w:rsidR="002E4D99" w:rsidRPr="00367BEC" w14:paraId="438D93CC" w14:textId="77777777" w:rsidTr="00CF1C1E">
        <w:trPr>
          <w:trHeight w:val="20"/>
        </w:trPr>
        <w:tc>
          <w:tcPr>
            <w:tcW w:w="674" w:type="pct"/>
            <w:tcBorders>
              <w:top w:val="nil"/>
              <w:left w:val="nil"/>
              <w:bottom w:val="nil"/>
              <w:right w:val="nil"/>
            </w:tcBorders>
            <w:shd w:val="clear" w:color="000000" w:fill="FFFFFF"/>
            <w:noWrap/>
            <w:hideMark/>
          </w:tcPr>
          <w:p w14:paraId="2B6239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Coluzzi</w:t>
            </w:r>
            <w:proofErr w:type="spellEnd"/>
            <w:r w:rsidRPr="00367BEC">
              <w:rPr>
                <w:rFonts w:ascii="Times New Roman" w:hAnsi="Times New Roman"/>
                <w:color w:val="000000"/>
                <w:sz w:val="16"/>
              </w:rPr>
              <w:t xml:space="preserve"> 2015</w:t>
            </w:r>
          </w:p>
        </w:tc>
        <w:tc>
          <w:tcPr>
            <w:tcW w:w="623" w:type="pct"/>
            <w:tcBorders>
              <w:top w:val="nil"/>
              <w:left w:val="nil"/>
              <w:bottom w:val="nil"/>
              <w:right w:val="nil"/>
            </w:tcBorders>
            <w:shd w:val="clear" w:color="000000" w:fill="FFFFFF"/>
            <w:noWrap/>
            <w:hideMark/>
          </w:tcPr>
          <w:p w14:paraId="723324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nil"/>
              <w:left w:val="nil"/>
              <w:bottom w:val="nil"/>
              <w:right w:val="nil"/>
            </w:tcBorders>
            <w:shd w:val="clear" w:color="000000" w:fill="FFFFFF"/>
            <w:noWrap/>
            <w:hideMark/>
          </w:tcPr>
          <w:p w14:paraId="2F0663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 Reposo</w:t>
            </w:r>
          </w:p>
        </w:tc>
        <w:tc>
          <w:tcPr>
            <w:tcW w:w="161" w:type="pct"/>
            <w:tcBorders>
              <w:top w:val="nil"/>
              <w:left w:val="nil"/>
              <w:bottom w:val="nil"/>
              <w:right w:val="nil"/>
            </w:tcBorders>
            <w:shd w:val="clear" w:color="000000" w:fill="FFFFFF"/>
            <w:noWrap/>
            <w:hideMark/>
          </w:tcPr>
          <w:p w14:paraId="233207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5,1</w:t>
            </w:r>
          </w:p>
        </w:tc>
        <w:tc>
          <w:tcPr>
            <w:tcW w:w="413" w:type="pct"/>
            <w:tcBorders>
              <w:top w:val="nil"/>
              <w:left w:val="nil"/>
              <w:bottom w:val="nil"/>
              <w:right w:val="nil"/>
            </w:tcBorders>
            <w:shd w:val="clear" w:color="000000" w:fill="FFFFFF"/>
            <w:noWrap/>
            <w:hideMark/>
          </w:tcPr>
          <w:p w14:paraId="514746E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w:t>
            </w:r>
          </w:p>
        </w:tc>
        <w:tc>
          <w:tcPr>
            <w:tcW w:w="161" w:type="pct"/>
            <w:tcBorders>
              <w:top w:val="nil"/>
              <w:left w:val="nil"/>
              <w:bottom w:val="nil"/>
              <w:right w:val="nil"/>
            </w:tcBorders>
            <w:shd w:val="clear" w:color="000000" w:fill="FFFFFF"/>
            <w:noWrap/>
            <w:hideMark/>
          </w:tcPr>
          <w:p w14:paraId="36784A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0,4</w:t>
            </w:r>
          </w:p>
        </w:tc>
        <w:tc>
          <w:tcPr>
            <w:tcW w:w="313" w:type="pct"/>
            <w:tcBorders>
              <w:top w:val="nil"/>
              <w:left w:val="nil"/>
              <w:bottom w:val="nil"/>
              <w:right w:val="nil"/>
            </w:tcBorders>
            <w:shd w:val="clear" w:color="000000" w:fill="FFFFFF"/>
            <w:noWrap/>
            <w:hideMark/>
          </w:tcPr>
          <w:p w14:paraId="3FBC281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(0,8)</w:t>
            </w:r>
          </w:p>
        </w:tc>
        <w:tc>
          <w:tcPr>
            <w:tcW w:w="702" w:type="pct"/>
            <w:tcBorders>
              <w:top w:val="nil"/>
              <w:left w:val="nil"/>
              <w:bottom w:val="nil"/>
              <w:right w:val="nil"/>
            </w:tcBorders>
            <w:shd w:val="clear" w:color="000000" w:fill="FFFFFF"/>
            <w:noWrap/>
            <w:hideMark/>
          </w:tcPr>
          <w:p w14:paraId="305B9DE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−4,8</w:t>
            </w:r>
          </w:p>
        </w:tc>
        <w:tc>
          <w:tcPr>
            <w:tcW w:w="821" w:type="pct"/>
            <w:tcBorders>
              <w:top w:val="nil"/>
              <w:left w:val="nil"/>
              <w:bottom w:val="nil"/>
              <w:right w:val="nil"/>
            </w:tcBorders>
            <w:shd w:val="clear" w:color="000000" w:fill="FFFFFF"/>
            <w:noWrap/>
            <w:hideMark/>
          </w:tcPr>
          <w:p w14:paraId="45C577B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−93,0</w:t>
            </w:r>
            <w:r w:rsidRPr="00367BEC">
              <w:rPr>
                <w:rFonts w:ascii="Times New Roman" w:hAnsi="Times New Roman"/>
                <w:b/>
                <w:color w:val="000000"/>
                <w:sz w:val="16"/>
                <w:vertAlign w:val="superscript"/>
              </w:rPr>
              <w:t>ii</w:t>
            </w:r>
          </w:p>
        </w:tc>
      </w:tr>
      <w:tr w:rsidR="002E4D99" w:rsidRPr="00367BEC" w14:paraId="303FD9C8" w14:textId="77777777" w:rsidTr="00CF1C1E">
        <w:trPr>
          <w:trHeight w:val="20"/>
        </w:trPr>
        <w:tc>
          <w:tcPr>
            <w:tcW w:w="674" w:type="pct"/>
            <w:tcBorders>
              <w:top w:val="nil"/>
              <w:left w:val="nil"/>
              <w:bottom w:val="nil"/>
              <w:right w:val="nil"/>
            </w:tcBorders>
            <w:shd w:val="clear" w:color="000000" w:fill="FFFFFF"/>
            <w:noWrap/>
            <w:hideMark/>
          </w:tcPr>
          <w:p w14:paraId="296BD26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single" w:sz="8" w:space="0" w:color="auto"/>
              <w:right w:val="nil"/>
            </w:tcBorders>
            <w:shd w:val="clear" w:color="000000" w:fill="FFFFFF"/>
            <w:noWrap/>
            <w:hideMark/>
          </w:tcPr>
          <w:p w14:paraId="287466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149AAF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 Movimiento</w:t>
            </w:r>
          </w:p>
        </w:tc>
        <w:tc>
          <w:tcPr>
            <w:tcW w:w="161" w:type="pct"/>
            <w:tcBorders>
              <w:top w:val="nil"/>
              <w:left w:val="nil"/>
              <w:bottom w:val="nil"/>
              <w:right w:val="nil"/>
            </w:tcBorders>
            <w:shd w:val="clear" w:color="000000" w:fill="FFFFFF"/>
            <w:noWrap/>
            <w:hideMark/>
          </w:tcPr>
          <w:p w14:paraId="0D4900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9,2</w:t>
            </w:r>
          </w:p>
        </w:tc>
        <w:tc>
          <w:tcPr>
            <w:tcW w:w="413" w:type="pct"/>
            <w:tcBorders>
              <w:top w:val="nil"/>
              <w:left w:val="nil"/>
              <w:bottom w:val="single" w:sz="8" w:space="0" w:color="auto"/>
              <w:right w:val="nil"/>
            </w:tcBorders>
            <w:shd w:val="clear" w:color="000000" w:fill="FFFFFF"/>
            <w:noWrap/>
            <w:hideMark/>
          </w:tcPr>
          <w:p w14:paraId="44B5688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(0,9)</w:t>
            </w:r>
          </w:p>
        </w:tc>
        <w:tc>
          <w:tcPr>
            <w:tcW w:w="161" w:type="pct"/>
            <w:tcBorders>
              <w:top w:val="nil"/>
              <w:left w:val="nil"/>
              <w:bottom w:val="nil"/>
              <w:right w:val="nil"/>
            </w:tcBorders>
            <w:shd w:val="clear" w:color="000000" w:fill="FFFFFF"/>
            <w:noWrap/>
            <w:hideMark/>
          </w:tcPr>
          <w:p w14:paraId="7E76DF9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2,5</w:t>
            </w:r>
          </w:p>
        </w:tc>
        <w:tc>
          <w:tcPr>
            <w:tcW w:w="313" w:type="pct"/>
            <w:tcBorders>
              <w:top w:val="nil"/>
              <w:left w:val="nil"/>
              <w:bottom w:val="single" w:sz="8" w:space="0" w:color="auto"/>
              <w:right w:val="nil"/>
            </w:tcBorders>
            <w:shd w:val="clear" w:color="000000" w:fill="FFFFFF"/>
            <w:noWrap/>
            <w:hideMark/>
          </w:tcPr>
          <w:p w14:paraId="316DD0E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w:t>
            </w:r>
          </w:p>
        </w:tc>
        <w:tc>
          <w:tcPr>
            <w:tcW w:w="702" w:type="pct"/>
            <w:tcBorders>
              <w:top w:val="nil"/>
              <w:left w:val="nil"/>
              <w:bottom w:val="nil"/>
              <w:right w:val="nil"/>
            </w:tcBorders>
            <w:shd w:val="clear" w:color="000000" w:fill="FFFFFF"/>
            <w:noWrap/>
            <w:hideMark/>
          </w:tcPr>
          <w:p w14:paraId="5CF3BE0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−6,7</w:t>
            </w:r>
          </w:p>
        </w:tc>
        <w:tc>
          <w:tcPr>
            <w:tcW w:w="821" w:type="pct"/>
            <w:tcBorders>
              <w:top w:val="nil"/>
              <w:left w:val="nil"/>
              <w:bottom w:val="nil"/>
              <w:right w:val="nil"/>
            </w:tcBorders>
            <w:shd w:val="clear" w:color="000000" w:fill="FFFFFF"/>
            <w:noWrap/>
            <w:hideMark/>
          </w:tcPr>
          <w:p w14:paraId="0DCDEE69"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−73,2</w:t>
            </w:r>
            <w:r w:rsidRPr="00367BEC">
              <w:rPr>
                <w:rFonts w:ascii="Times New Roman" w:hAnsi="Times New Roman"/>
                <w:b/>
                <w:color w:val="000000"/>
                <w:sz w:val="16"/>
                <w:vertAlign w:val="superscript"/>
              </w:rPr>
              <w:t>ii</w:t>
            </w:r>
          </w:p>
        </w:tc>
      </w:tr>
      <w:tr w:rsidR="002E4D99" w:rsidRPr="00367BEC" w14:paraId="1B8856F4" w14:textId="77777777" w:rsidTr="00CF1C1E">
        <w:trPr>
          <w:trHeight w:val="20"/>
        </w:trPr>
        <w:tc>
          <w:tcPr>
            <w:tcW w:w="674" w:type="pct"/>
            <w:tcBorders>
              <w:top w:val="single" w:sz="8" w:space="0" w:color="auto"/>
              <w:left w:val="nil"/>
              <w:bottom w:val="single" w:sz="8" w:space="0" w:color="auto"/>
              <w:right w:val="nil"/>
            </w:tcBorders>
            <w:shd w:val="clear" w:color="000000" w:fill="FFFFFF"/>
            <w:noWrap/>
            <w:hideMark/>
          </w:tcPr>
          <w:p w14:paraId="1C92AAD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Schwenke</w:t>
            </w:r>
            <w:proofErr w:type="spellEnd"/>
            <w:r w:rsidRPr="00367BEC">
              <w:rPr>
                <w:rFonts w:ascii="Times New Roman" w:hAnsi="Times New Roman"/>
                <w:color w:val="000000"/>
                <w:sz w:val="16"/>
              </w:rPr>
              <w:t xml:space="preserve"> 2015</w:t>
            </w:r>
          </w:p>
        </w:tc>
        <w:tc>
          <w:tcPr>
            <w:tcW w:w="623" w:type="pct"/>
            <w:tcBorders>
              <w:top w:val="nil"/>
              <w:left w:val="nil"/>
              <w:bottom w:val="single" w:sz="8" w:space="0" w:color="auto"/>
              <w:right w:val="nil"/>
            </w:tcBorders>
            <w:shd w:val="clear" w:color="000000" w:fill="FFFFFF"/>
            <w:noWrap/>
            <w:hideMark/>
          </w:tcPr>
          <w:p w14:paraId="41B1DE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single" w:sz="8" w:space="0" w:color="auto"/>
              <w:left w:val="nil"/>
              <w:bottom w:val="single" w:sz="8" w:space="0" w:color="auto"/>
              <w:right w:val="nil"/>
            </w:tcBorders>
            <w:shd w:val="clear" w:color="000000" w:fill="FFFFFF"/>
            <w:noWrap/>
            <w:hideMark/>
          </w:tcPr>
          <w:p w14:paraId="5FC46FAB" w14:textId="56D66454"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w:t>
            </w:r>
            <w:r w:rsidR="00537209" w:rsidRPr="00367BEC">
              <w:rPr>
                <w:rFonts w:ascii="Times New Roman" w:hAnsi="Times New Roman"/>
                <w:color w:val="000000"/>
                <w:sz w:val="16"/>
              </w:rPr>
              <w:t>11</w:t>
            </w:r>
            <w:r w:rsidR="00537209">
              <w:rPr>
                <w:rFonts w:ascii="Times New Roman" w:hAnsi="Times New Roman"/>
                <w:color w:val="000000"/>
                <w:sz w:val="16"/>
              </w:rPr>
              <w:t>-</w:t>
            </w:r>
            <w:r w:rsidRPr="00367BEC">
              <w:rPr>
                <w:rFonts w:ascii="Times New Roman" w:hAnsi="Times New Roman"/>
                <w:color w:val="000000"/>
                <w:sz w:val="16"/>
              </w:rPr>
              <w:t xml:space="preserve">3d </w:t>
            </w:r>
          </w:p>
        </w:tc>
        <w:tc>
          <w:tcPr>
            <w:tcW w:w="161" w:type="pct"/>
            <w:tcBorders>
              <w:top w:val="single" w:sz="8" w:space="0" w:color="auto"/>
              <w:left w:val="nil"/>
              <w:bottom w:val="single" w:sz="8" w:space="0" w:color="auto"/>
              <w:right w:val="nil"/>
            </w:tcBorders>
            <w:shd w:val="clear" w:color="000000" w:fill="FFFFFF"/>
            <w:noWrap/>
            <w:hideMark/>
          </w:tcPr>
          <w:p w14:paraId="0DFCD2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7,1</w:t>
            </w:r>
          </w:p>
        </w:tc>
        <w:tc>
          <w:tcPr>
            <w:tcW w:w="413" w:type="pct"/>
            <w:tcBorders>
              <w:top w:val="nil"/>
              <w:left w:val="nil"/>
              <w:bottom w:val="single" w:sz="8" w:space="0" w:color="auto"/>
              <w:right w:val="nil"/>
            </w:tcBorders>
            <w:shd w:val="clear" w:color="000000" w:fill="FFFFFF"/>
            <w:noWrap/>
            <w:hideMark/>
          </w:tcPr>
          <w:p w14:paraId="371901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w:t>
            </w:r>
          </w:p>
        </w:tc>
        <w:tc>
          <w:tcPr>
            <w:tcW w:w="161" w:type="pct"/>
            <w:tcBorders>
              <w:top w:val="single" w:sz="8" w:space="0" w:color="auto"/>
              <w:left w:val="nil"/>
              <w:bottom w:val="single" w:sz="8" w:space="0" w:color="auto"/>
              <w:right w:val="nil"/>
            </w:tcBorders>
            <w:shd w:val="clear" w:color="000000" w:fill="FFFFFF"/>
            <w:noWrap/>
            <w:hideMark/>
          </w:tcPr>
          <w:p w14:paraId="556E0C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3,3</w:t>
            </w:r>
          </w:p>
        </w:tc>
        <w:tc>
          <w:tcPr>
            <w:tcW w:w="313" w:type="pct"/>
            <w:tcBorders>
              <w:top w:val="nil"/>
              <w:left w:val="nil"/>
              <w:bottom w:val="single" w:sz="8" w:space="0" w:color="auto"/>
              <w:right w:val="nil"/>
            </w:tcBorders>
            <w:shd w:val="clear" w:color="000000" w:fill="FFFFFF"/>
            <w:noWrap/>
            <w:hideMark/>
          </w:tcPr>
          <w:p w14:paraId="79DD5A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w:t>
            </w:r>
          </w:p>
        </w:tc>
        <w:tc>
          <w:tcPr>
            <w:tcW w:w="702" w:type="pct"/>
            <w:tcBorders>
              <w:top w:val="single" w:sz="8" w:space="0" w:color="auto"/>
              <w:left w:val="nil"/>
              <w:bottom w:val="single" w:sz="8" w:space="0" w:color="auto"/>
              <w:right w:val="nil"/>
            </w:tcBorders>
            <w:shd w:val="clear" w:color="000000" w:fill="FFFFFF"/>
            <w:noWrap/>
            <w:hideMark/>
          </w:tcPr>
          <w:p w14:paraId="3BE981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−3,8</w:t>
            </w:r>
          </w:p>
        </w:tc>
        <w:tc>
          <w:tcPr>
            <w:tcW w:w="821" w:type="pct"/>
            <w:tcBorders>
              <w:top w:val="single" w:sz="8" w:space="0" w:color="auto"/>
              <w:left w:val="nil"/>
              <w:bottom w:val="single" w:sz="8" w:space="0" w:color="auto"/>
              <w:right w:val="nil"/>
            </w:tcBorders>
            <w:shd w:val="clear" w:color="000000" w:fill="FFFFFF"/>
            <w:noWrap/>
            <w:hideMark/>
          </w:tcPr>
          <w:p w14:paraId="0814A84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−53,5</w:t>
            </w:r>
            <w:r w:rsidRPr="00367BEC">
              <w:rPr>
                <w:rFonts w:ascii="Times New Roman" w:hAnsi="Times New Roman"/>
                <w:b/>
                <w:color w:val="000000"/>
                <w:sz w:val="16"/>
                <w:vertAlign w:val="superscript"/>
              </w:rPr>
              <w:t>iii</w:t>
            </w:r>
          </w:p>
        </w:tc>
      </w:tr>
      <w:tr w:rsidR="002E4D99" w:rsidRPr="00367BEC" w14:paraId="7EB54574" w14:textId="77777777" w:rsidTr="00CF1C1E">
        <w:trPr>
          <w:trHeight w:val="20"/>
        </w:trPr>
        <w:tc>
          <w:tcPr>
            <w:tcW w:w="674" w:type="pct"/>
            <w:tcBorders>
              <w:top w:val="nil"/>
              <w:left w:val="nil"/>
              <w:bottom w:val="nil"/>
              <w:right w:val="nil"/>
            </w:tcBorders>
            <w:shd w:val="clear" w:color="000000" w:fill="FFFFFF"/>
            <w:noWrap/>
            <w:hideMark/>
          </w:tcPr>
          <w:p w14:paraId="587C9A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Schikowski</w:t>
            </w:r>
            <w:proofErr w:type="spellEnd"/>
            <w:r w:rsidRPr="00367BEC">
              <w:rPr>
                <w:rFonts w:ascii="Times New Roman" w:hAnsi="Times New Roman"/>
                <w:color w:val="000000"/>
                <w:sz w:val="16"/>
              </w:rPr>
              <w:t xml:space="preserve"> 2015</w:t>
            </w:r>
          </w:p>
        </w:tc>
        <w:tc>
          <w:tcPr>
            <w:tcW w:w="623" w:type="pct"/>
            <w:tcBorders>
              <w:top w:val="nil"/>
              <w:left w:val="nil"/>
              <w:bottom w:val="nil"/>
              <w:right w:val="nil"/>
            </w:tcBorders>
            <w:shd w:val="clear" w:color="000000" w:fill="FFFFFF"/>
            <w:noWrap/>
            <w:hideMark/>
          </w:tcPr>
          <w:p w14:paraId="3F3061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132" w:type="pct"/>
            <w:tcBorders>
              <w:top w:val="nil"/>
              <w:left w:val="nil"/>
              <w:bottom w:val="nil"/>
              <w:right w:val="nil"/>
            </w:tcBorders>
            <w:shd w:val="clear" w:color="000000" w:fill="FFFFFF"/>
            <w:noWrap/>
            <w:hideMark/>
          </w:tcPr>
          <w:p w14:paraId="3E0D39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EVN-11-3d (media)</w:t>
            </w:r>
          </w:p>
        </w:tc>
        <w:tc>
          <w:tcPr>
            <w:tcW w:w="161" w:type="pct"/>
            <w:tcBorders>
              <w:top w:val="nil"/>
              <w:left w:val="nil"/>
              <w:bottom w:val="nil"/>
              <w:right w:val="nil"/>
            </w:tcBorders>
            <w:shd w:val="clear" w:color="000000" w:fill="FFFFFF"/>
            <w:noWrap/>
            <w:hideMark/>
          </w:tcPr>
          <w:p w14:paraId="1C6177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6,1</w:t>
            </w:r>
          </w:p>
        </w:tc>
        <w:tc>
          <w:tcPr>
            <w:tcW w:w="413" w:type="pct"/>
            <w:tcBorders>
              <w:top w:val="nil"/>
              <w:left w:val="nil"/>
              <w:bottom w:val="nil"/>
              <w:right w:val="nil"/>
            </w:tcBorders>
            <w:shd w:val="clear" w:color="000000" w:fill="FFFFFF"/>
            <w:noWrap/>
            <w:hideMark/>
          </w:tcPr>
          <w:p w14:paraId="6221D1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w:t>
            </w:r>
          </w:p>
        </w:tc>
        <w:tc>
          <w:tcPr>
            <w:tcW w:w="161" w:type="pct"/>
            <w:tcBorders>
              <w:top w:val="nil"/>
              <w:left w:val="nil"/>
              <w:bottom w:val="nil"/>
              <w:right w:val="nil"/>
            </w:tcBorders>
            <w:shd w:val="clear" w:color="000000" w:fill="FFFFFF"/>
            <w:noWrap/>
            <w:hideMark/>
          </w:tcPr>
          <w:p w14:paraId="466614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3,7</w:t>
            </w:r>
          </w:p>
        </w:tc>
        <w:tc>
          <w:tcPr>
            <w:tcW w:w="313" w:type="pct"/>
            <w:tcBorders>
              <w:top w:val="nil"/>
              <w:left w:val="nil"/>
              <w:bottom w:val="nil"/>
              <w:right w:val="nil"/>
            </w:tcBorders>
            <w:shd w:val="clear" w:color="000000" w:fill="FFFFFF"/>
            <w:noWrap/>
            <w:hideMark/>
          </w:tcPr>
          <w:p w14:paraId="553A4E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38E643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−2,4</w:t>
            </w:r>
          </w:p>
        </w:tc>
        <w:tc>
          <w:tcPr>
            <w:tcW w:w="821" w:type="pct"/>
            <w:tcBorders>
              <w:top w:val="nil"/>
              <w:left w:val="nil"/>
              <w:bottom w:val="nil"/>
              <w:right w:val="nil"/>
            </w:tcBorders>
            <w:shd w:val="clear" w:color="000000" w:fill="FFFFFF"/>
            <w:noWrap/>
            <w:hideMark/>
          </w:tcPr>
          <w:p w14:paraId="74AF289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−39,3</w:t>
            </w:r>
            <w:r w:rsidRPr="00367BEC">
              <w:rPr>
                <w:rFonts w:ascii="Times New Roman" w:hAnsi="Times New Roman"/>
                <w:b/>
                <w:color w:val="000000"/>
                <w:sz w:val="16"/>
                <w:vertAlign w:val="superscript"/>
              </w:rPr>
              <w:t>iii</w:t>
            </w:r>
          </w:p>
        </w:tc>
      </w:tr>
      <w:tr w:rsidR="002E4D99" w:rsidRPr="00367BEC" w14:paraId="4DEE82EF" w14:textId="77777777" w:rsidTr="00CF1C1E">
        <w:trPr>
          <w:trHeight w:val="20"/>
        </w:trPr>
        <w:tc>
          <w:tcPr>
            <w:tcW w:w="674" w:type="pct"/>
            <w:tcBorders>
              <w:top w:val="nil"/>
              <w:left w:val="nil"/>
              <w:bottom w:val="nil"/>
              <w:right w:val="nil"/>
            </w:tcBorders>
            <w:shd w:val="clear" w:color="000000" w:fill="FFFFFF"/>
            <w:noWrap/>
            <w:hideMark/>
          </w:tcPr>
          <w:p w14:paraId="0B3665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nil"/>
              <w:right w:val="nil"/>
            </w:tcBorders>
            <w:shd w:val="clear" w:color="000000" w:fill="FFFFFF"/>
            <w:noWrap/>
            <w:hideMark/>
          </w:tcPr>
          <w:p w14:paraId="40D7610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21B231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EVN-11-3d (mínimo)</w:t>
            </w:r>
          </w:p>
        </w:tc>
        <w:tc>
          <w:tcPr>
            <w:tcW w:w="161" w:type="pct"/>
            <w:tcBorders>
              <w:top w:val="nil"/>
              <w:left w:val="nil"/>
              <w:bottom w:val="nil"/>
              <w:right w:val="nil"/>
            </w:tcBorders>
            <w:shd w:val="clear" w:color="000000" w:fill="FFFFFF"/>
            <w:noWrap/>
            <w:hideMark/>
          </w:tcPr>
          <w:p w14:paraId="4C1DC01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4,8</w:t>
            </w:r>
          </w:p>
        </w:tc>
        <w:tc>
          <w:tcPr>
            <w:tcW w:w="413" w:type="pct"/>
            <w:tcBorders>
              <w:top w:val="nil"/>
              <w:left w:val="nil"/>
              <w:bottom w:val="nil"/>
              <w:right w:val="nil"/>
            </w:tcBorders>
            <w:shd w:val="clear" w:color="000000" w:fill="FFFFFF"/>
            <w:noWrap/>
            <w:hideMark/>
          </w:tcPr>
          <w:p w14:paraId="2C5F08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61" w:type="pct"/>
            <w:tcBorders>
              <w:top w:val="nil"/>
              <w:left w:val="nil"/>
              <w:bottom w:val="nil"/>
              <w:right w:val="nil"/>
            </w:tcBorders>
            <w:shd w:val="clear" w:color="000000" w:fill="FFFFFF"/>
            <w:noWrap/>
            <w:hideMark/>
          </w:tcPr>
          <w:p w14:paraId="54D1126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2,8</w:t>
            </w:r>
          </w:p>
        </w:tc>
        <w:tc>
          <w:tcPr>
            <w:tcW w:w="313" w:type="pct"/>
            <w:tcBorders>
              <w:top w:val="nil"/>
              <w:left w:val="nil"/>
              <w:bottom w:val="nil"/>
              <w:right w:val="nil"/>
            </w:tcBorders>
            <w:shd w:val="clear" w:color="000000" w:fill="FFFFFF"/>
            <w:noWrap/>
            <w:hideMark/>
          </w:tcPr>
          <w:p w14:paraId="73BCF1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32918E3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w:t>
            </w:r>
          </w:p>
        </w:tc>
        <w:tc>
          <w:tcPr>
            <w:tcW w:w="821" w:type="pct"/>
            <w:tcBorders>
              <w:top w:val="nil"/>
              <w:left w:val="nil"/>
              <w:bottom w:val="nil"/>
              <w:right w:val="nil"/>
            </w:tcBorders>
            <w:shd w:val="clear" w:color="000000" w:fill="FFFFFF"/>
            <w:noWrap/>
            <w:hideMark/>
          </w:tcPr>
          <w:p w14:paraId="150A79C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−43,8</w:t>
            </w:r>
            <w:r w:rsidRPr="00367BEC">
              <w:rPr>
                <w:rFonts w:ascii="Times New Roman" w:hAnsi="Times New Roman"/>
                <w:b/>
                <w:color w:val="000000"/>
                <w:sz w:val="16"/>
                <w:vertAlign w:val="superscript"/>
              </w:rPr>
              <w:t>iii</w:t>
            </w:r>
          </w:p>
        </w:tc>
      </w:tr>
      <w:tr w:rsidR="002E4D99" w:rsidRPr="00367BEC" w14:paraId="5E4C8D5E" w14:textId="77777777" w:rsidTr="00CF1C1E">
        <w:trPr>
          <w:trHeight w:val="20"/>
        </w:trPr>
        <w:tc>
          <w:tcPr>
            <w:tcW w:w="674" w:type="pct"/>
            <w:tcBorders>
              <w:top w:val="nil"/>
              <w:left w:val="nil"/>
              <w:bottom w:val="nil"/>
              <w:right w:val="nil"/>
            </w:tcBorders>
            <w:shd w:val="clear" w:color="000000" w:fill="FFFFFF"/>
            <w:noWrap/>
            <w:hideMark/>
          </w:tcPr>
          <w:p w14:paraId="5221FB2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nil"/>
              <w:right w:val="nil"/>
            </w:tcBorders>
            <w:shd w:val="clear" w:color="000000" w:fill="FFFFFF"/>
            <w:noWrap/>
            <w:hideMark/>
          </w:tcPr>
          <w:p w14:paraId="7CAC78A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nil"/>
              <w:right w:val="nil"/>
            </w:tcBorders>
            <w:shd w:val="clear" w:color="000000" w:fill="FFFFFF"/>
            <w:noWrap/>
            <w:hideMark/>
          </w:tcPr>
          <w:p w14:paraId="7F9CAF8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EVN-11-3d (máximo)</w:t>
            </w:r>
          </w:p>
        </w:tc>
        <w:tc>
          <w:tcPr>
            <w:tcW w:w="161" w:type="pct"/>
            <w:tcBorders>
              <w:top w:val="nil"/>
              <w:left w:val="nil"/>
              <w:bottom w:val="nil"/>
              <w:right w:val="nil"/>
            </w:tcBorders>
            <w:shd w:val="clear" w:color="000000" w:fill="FFFFFF"/>
            <w:noWrap/>
            <w:hideMark/>
          </w:tcPr>
          <w:p w14:paraId="39077F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8,3</w:t>
            </w:r>
          </w:p>
        </w:tc>
        <w:tc>
          <w:tcPr>
            <w:tcW w:w="413" w:type="pct"/>
            <w:tcBorders>
              <w:top w:val="nil"/>
              <w:left w:val="nil"/>
              <w:bottom w:val="nil"/>
              <w:right w:val="nil"/>
            </w:tcBorders>
            <w:shd w:val="clear" w:color="000000" w:fill="FFFFFF"/>
            <w:noWrap/>
            <w:hideMark/>
          </w:tcPr>
          <w:p w14:paraId="6FBFA62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61" w:type="pct"/>
            <w:tcBorders>
              <w:top w:val="nil"/>
              <w:left w:val="nil"/>
              <w:bottom w:val="nil"/>
              <w:right w:val="nil"/>
            </w:tcBorders>
            <w:shd w:val="clear" w:color="000000" w:fill="FFFFFF"/>
            <w:noWrap/>
            <w:hideMark/>
          </w:tcPr>
          <w:p w14:paraId="2655301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5,4</w:t>
            </w:r>
          </w:p>
        </w:tc>
        <w:tc>
          <w:tcPr>
            <w:tcW w:w="313" w:type="pct"/>
            <w:tcBorders>
              <w:top w:val="nil"/>
              <w:left w:val="nil"/>
              <w:bottom w:val="nil"/>
              <w:right w:val="nil"/>
            </w:tcBorders>
            <w:shd w:val="clear" w:color="000000" w:fill="FFFFFF"/>
            <w:noWrap/>
            <w:hideMark/>
          </w:tcPr>
          <w:p w14:paraId="2D22654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02" w:type="pct"/>
            <w:tcBorders>
              <w:top w:val="nil"/>
              <w:left w:val="nil"/>
              <w:bottom w:val="nil"/>
              <w:right w:val="nil"/>
            </w:tcBorders>
            <w:shd w:val="clear" w:color="000000" w:fill="FFFFFF"/>
            <w:noWrap/>
            <w:hideMark/>
          </w:tcPr>
          <w:p w14:paraId="1B9431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−2,9</w:t>
            </w:r>
          </w:p>
        </w:tc>
        <w:tc>
          <w:tcPr>
            <w:tcW w:w="821" w:type="pct"/>
            <w:tcBorders>
              <w:top w:val="nil"/>
              <w:left w:val="nil"/>
              <w:bottom w:val="nil"/>
              <w:right w:val="nil"/>
            </w:tcBorders>
            <w:shd w:val="clear" w:color="000000" w:fill="FFFFFF"/>
            <w:noWrap/>
            <w:hideMark/>
          </w:tcPr>
          <w:p w14:paraId="1F4968F7"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−34,9</w:t>
            </w:r>
            <w:r w:rsidRPr="00367BEC">
              <w:rPr>
                <w:rFonts w:ascii="Times New Roman" w:hAnsi="Times New Roman"/>
                <w:b/>
                <w:color w:val="000000"/>
                <w:sz w:val="16"/>
                <w:vertAlign w:val="superscript"/>
              </w:rPr>
              <w:t>iii</w:t>
            </w:r>
          </w:p>
        </w:tc>
      </w:tr>
      <w:tr w:rsidR="002E4D99" w:rsidRPr="00367BEC" w14:paraId="02237CBD" w14:textId="77777777" w:rsidTr="00CF1C1E">
        <w:trPr>
          <w:trHeight w:val="20"/>
        </w:trPr>
        <w:tc>
          <w:tcPr>
            <w:tcW w:w="674" w:type="pct"/>
            <w:tcBorders>
              <w:top w:val="nil"/>
              <w:left w:val="nil"/>
              <w:bottom w:val="single" w:sz="8" w:space="0" w:color="auto"/>
              <w:right w:val="nil"/>
            </w:tcBorders>
            <w:shd w:val="clear" w:color="000000" w:fill="FFFFFF"/>
            <w:noWrap/>
            <w:hideMark/>
          </w:tcPr>
          <w:p w14:paraId="39D82D7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23" w:type="pct"/>
            <w:tcBorders>
              <w:top w:val="nil"/>
              <w:left w:val="nil"/>
              <w:bottom w:val="single" w:sz="8" w:space="0" w:color="auto"/>
              <w:right w:val="nil"/>
            </w:tcBorders>
            <w:shd w:val="clear" w:color="000000" w:fill="FFFFFF"/>
            <w:noWrap/>
            <w:hideMark/>
          </w:tcPr>
          <w:p w14:paraId="3555BB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32" w:type="pct"/>
            <w:tcBorders>
              <w:top w:val="nil"/>
              <w:left w:val="nil"/>
              <w:bottom w:val="single" w:sz="8" w:space="0" w:color="auto"/>
              <w:right w:val="nil"/>
            </w:tcBorders>
            <w:shd w:val="clear" w:color="000000" w:fill="FFFFFF"/>
            <w:noWrap/>
            <w:hideMark/>
          </w:tcPr>
          <w:p w14:paraId="351355F6" w14:textId="77777777" w:rsidR="002E4D99" w:rsidRPr="00D447F5" w:rsidRDefault="002E4D99" w:rsidP="00CF1C1E">
            <w:pPr>
              <w:spacing w:after="0" w:line="240" w:lineRule="auto"/>
              <w:rPr>
                <w:rFonts w:ascii="Times New Roman" w:eastAsia="Times New Roman" w:hAnsi="Times New Roman" w:cs="Times New Roman"/>
                <w:color w:val="000000"/>
                <w:sz w:val="16"/>
                <w:szCs w:val="16"/>
                <w:lang w:val="pt-BR"/>
              </w:rPr>
            </w:pPr>
            <w:proofErr w:type="spellStart"/>
            <w:r w:rsidRPr="00697500">
              <w:rPr>
                <w:rFonts w:ascii="Times New Roman" w:hAnsi="Times New Roman"/>
                <w:color w:val="000000"/>
                <w:sz w:val="16"/>
                <w:lang w:val="pt-BR"/>
              </w:rPr>
              <w:t>Episodios</w:t>
            </w:r>
            <w:proofErr w:type="spellEnd"/>
            <w:r w:rsidRPr="00D447F5">
              <w:rPr>
                <w:rFonts w:ascii="Times New Roman" w:hAnsi="Times New Roman"/>
                <w:color w:val="000000"/>
                <w:sz w:val="16"/>
                <w:lang w:val="pt-BR"/>
              </w:rPr>
              <w:t xml:space="preserve"> de </w:t>
            </w:r>
            <w:proofErr w:type="spellStart"/>
            <w:r w:rsidRPr="00697500">
              <w:rPr>
                <w:rFonts w:ascii="Times New Roman" w:hAnsi="Times New Roman"/>
                <w:color w:val="000000"/>
                <w:sz w:val="16"/>
                <w:lang w:val="pt-BR"/>
              </w:rPr>
              <w:t>dolor</w:t>
            </w:r>
            <w:proofErr w:type="spellEnd"/>
            <w:r w:rsidRPr="00D447F5">
              <w:rPr>
                <w:rFonts w:ascii="Times New Roman" w:hAnsi="Times New Roman"/>
                <w:color w:val="000000"/>
                <w:sz w:val="16"/>
                <w:lang w:val="pt-BR"/>
              </w:rPr>
              <w:t xml:space="preserve"> (n/sem)</w:t>
            </w:r>
          </w:p>
        </w:tc>
        <w:tc>
          <w:tcPr>
            <w:tcW w:w="161" w:type="pct"/>
            <w:tcBorders>
              <w:top w:val="nil"/>
              <w:left w:val="nil"/>
              <w:bottom w:val="single" w:sz="8" w:space="0" w:color="auto"/>
              <w:right w:val="nil"/>
            </w:tcBorders>
            <w:shd w:val="clear" w:color="000000" w:fill="FFFFFF"/>
            <w:noWrap/>
            <w:hideMark/>
          </w:tcPr>
          <w:p w14:paraId="41D57C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22,2</w:t>
            </w:r>
          </w:p>
        </w:tc>
        <w:tc>
          <w:tcPr>
            <w:tcW w:w="413" w:type="pct"/>
            <w:tcBorders>
              <w:top w:val="nil"/>
              <w:left w:val="nil"/>
              <w:bottom w:val="single" w:sz="8" w:space="0" w:color="auto"/>
              <w:right w:val="nil"/>
            </w:tcBorders>
            <w:shd w:val="clear" w:color="000000" w:fill="FFFFFF"/>
            <w:noWrap/>
            <w:hideMark/>
          </w:tcPr>
          <w:p w14:paraId="361E0A6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(15,5)</w:t>
            </w:r>
          </w:p>
        </w:tc>
        <w:tc>
          <w:tcPr>
            <w:tcW w:w="161" w:type="pct"/>
            <w:tcBorders>
              <w:top w:val="nil"/>
              <w:left w:val="nil"/>
              <w:bottom w:val="single" w:sz="8" w:space="0" w:color="auto"/>
              <w:right w:val="nil"/>
            </w:tcBorders>
            <w:shd w:val="clear" w:color="000000" w:fill="FFFFFF"/>
            <w:noWrap/>
            <w:hideMark/>
          </w:tcPr>
          <w:p w14:paraId="398161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10,4</w:t>
            </w:r>
          </w:p>
        </w:tc>
        <w:tc>
          <w:tcPr>
            <w:tcW w:w="313" w:type="pct"/>
            <w:tcBorders>
              <w:top w:val="nil"/>
              <w:left w:val="nil"/>
              <w:bottom w:val="single" w:sz="8" w:space="0" w:color="auto"/>
              <w:right w:val="nil"/>
            </w:tcBorders>
            <w:shd w:val="clear" w:color="000000" w:fill="FFFFFF"/>
            <w:noWrap/>
            <w:hideMark/>
          </w:tcPr>
          <w:p w14:paraId="338AA23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(12,3)</w:t>
            </w:r>
          </w:p>
        </w:tc>
        <w:tc>
          <w:tcPr>
            <w:tcW w:w="702" w:type="pct"/>
            <w:tcBorders>
              <w:top w:val="nil"/>
              <w:left w:val="nil"/>
              <w:bottom w:val="single" w:sz="8" w:space="0" w:color="auto"/>
              <w:right w:val="nil"/>
            </w:tcBorders>
            <w:shd w:val="clear" w:color="000000" w:fill="FFFFFF"/>
            <w:noWrap/>
            <w:hideMark/>
          </w:tcPr>
          <w:p w14:paraId="687E248B"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−11,8</w:t>
            </w:r>
          </w:p>
        </w:tc>
        <w:tc>
          <w:tcPr>
            <w:tcW w:w="821" w:type="pct"/>
            <w:tcBorders>
              <w:top w:val="nil"/>
              <w:left w:val="nil"/>
              <w:bottom w:val="single" w:sz="8" w:space="0" w:color="auto"/>
              <w:right w:val="nil"/>
            </w:tcBorders>
            <w:shd w:val="clear" w:color="000000" w:fill="FFFFFF"/>
            <w:noWrap/>
            <w:hideMark/>
          </w:tcPr>
          <w:p w14:paraId="4A4CDF6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−53,2</w:t>
            </w:r>
          </w:p>
        </w:tc>
      </w:tr>
      <w:tr w:rsidR="002E4D99" w:rsidRPr="00367BEC" w14:paraId="406C0A96" w14:textId="77777777" w:rsidTr="00CF1C1E">
        <w:trPr>
          <w:trHeight w:val="20"/>
        </w:trPr>
        <w:tc>
          <w:tcPr>
            <w:tcW w:w="674" w:type="pct"/>
            <w:tcBorders>
              <w:top w:val="single" w:sz="8" w:space="0" w:color="auto"/>
              <w:left w:val="nil"/>
              <w:bottom w:val="single" w:sz="4" w:space="0" w:color="auto"/>
              <w:right w:val="nil"/>
            </w:tcBorders>
            <w:shd w:val="clear" w:color="000000" w:fill="FFFFFF"/>
            <w:noWrap/>
            <w:hideMark/>
          </w:tcPr>
          <w:p w14:paraId="26751DF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Mercadante 2012</w:t>
            </w:r>
          </w:p>
        </w:tc>
        <w:tc>
          <w:tcPr>
            <w:tcW w:w="623" w:type="pct"/>
            <w:tcBorders>
              <w:top w:val="single" w:sz="8" w:space="0" w:color="auto"/>
              <w:left w:val="nil"/>
              <w:bottom w:val="single" w:sz="4" w:space="0" w:color="auto"/>
              <w:right w:val="nil"/>
            </w:tcBorders>
            <w:shd w:val="clear" w:color="000000" w:fill="FFFFFF"/>
            <w:noWrap/>
            <w:hideMark/>
          </w:tcPr>
          <w:p w14:paraId="760BC5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132" w:type="pct"/>
            <w:tcBorders>
              <w:top w:val="single" w:sz="8" w:space="0" w:color="auto"/>
              <w:left w:val="nil"/>
              <w:bottom w:val="single" w:sz="4" w:space="0" w:color="auto"/>
              <w:right w:val="nil"/>
            </w:tcBorders>
            <w:shd w:val="clear" w:color="000000" w:fill="FFFFFF"/>
            <w:noWrap/>
            <w:hideMark/>
          </w:tcPr>
          <w:p w14:paraId="3CB61315" w14:textId="79D3BF68"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r w:rsidR="00401451" w:rsidRPr="00401451">
              <w:rPr>
                <w:rFonts w:ascii="Times New Roman" w:hAnsi="Times New Roman"/>
                <w:color w:val="000000"/>
                <w:sz w:val="16"/>
              </w:rPr>
              <w:t>EVN</w:t>
            </w:r>
          </w:p>
        </w:tc>
        <w:tc>
          <w:tcPr>
            <w:tcW w:w="161" w:type="pct"/>
            <w:tcBorders>
              <w:top w:val="single" w:sz="8" w:space="0" w:color="auto"/>
              <w:left w:val="nil"/>
              <w:bottom w:val="single" w:sz="4" w:space="0" w:color="auto"/>
              <w:right w:val="nil"/>
            </w:tcBorders>
            <w:shd w:val="clear" w:color="000000" w:fill="FFFFFF"/>
            <w:noWrap/>
            <w:hideMark/>
          </w:tcPr>
          <w:p w14:paraId="3006E6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5,9</w:t>
            </w:r>
          </w:p>
        </w:tc>
        <w:tc>
          <w:tcPr>
            <w:tcW w:w="413" w:type="pct"/>
            <w:tcBorders>
              <w:top w:val="single" w:sz="8" w:space="0" w:color="auto"/>
              <w:left w:val="nil"/>
              <w:bottom w:val="single" w:sz="4" w:space="0" w:color="auto"/>
              <w:right w:val="nil"/>
            </w:tcBorders>
            <w:shd w:val="clear" w:color="000000" w:fill="FFFFFF"/>
            <w:noWrap/>
            <w:hideMark/>
          </w:tcPr>
          <w:p w14:paraId="13CFDA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w:t>
            </w:r>
          </w:p>
        </w:tc>
        <w:tc>
          <w:tcPr>
            <w:tcW w:w="161" w:type="pct"/>
            <w:tcBorders>
              <w:top w:val="single" w:sz="8" w:space="0" w:color="auto"/>
              <w:left w:val="nil"/>
              <w:bottom w:val="single" w:sz="4" w:space="0" w:color="auto"/>
              <w:right w:val="nil"/>
            </w:tcBorders>
            <w:shd w:val="clear" w:color="000000" w:fill="FFFFFF"/>
            <w:noWrap/>
            <w:hideMark/>
          </w:tcPr>
          <w:p w14:paraId="2807C0A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1,7</w:t>
            </w:r>
          </w:p>
        </w:tc>
        <w:tc>
          <w:tcPr>
            <w:tcW w:w="313" w:type="pct"/>
            <w:tcBorders>
              <w:top w:val="single" w:sz="8" w:space="0" w:color="auto"/>
              <w:left w:val="nil"/>
              <w:bottom w:val="single" w:sz="4" w:space="0" w:color="auto"/>
              <w:right w:val="nil"/>
            </w:tcBorders>
            <w:shd w:val="clear" w:color="000000" w:fill="FFFFFF"/>
            <w:noWrap/>
            <w:hideMark/>
          </w:tcPr>
          <w:p w14:paraId="4C76BC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w:t>
            </w:r>
          </w:p>
        </w:tc>
        <w:tc>
          <w:tcPr>
            <w:tcW w:w="702" w:type="pct"/>
            <w:tcBorders>
              <w:top w:val="single" w:sz="8" w:space="0" w:color="auto"/>
              <w:left w:val="nil"/>
              <w:bottom w:val="single" w:sz="4" w:space="0" w:color="auto"/>
              <w:right w:val="nil"/>
            </w:tcBorders>
            <w:shd w:val="clear" w:color="000000" w:fill="FFFFFF"/>
            <w:noWrap/>
            <w:hideMark/>
          </w:tcPr>
          <w:p w14:paraId="02341C2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−4,2</w:t>
            </w:r>
          </w:p>
        </w:tc>
        <w:tc>
          <w:tcPr>
            <w:tcW w:w="821" w:type="pct"/>
            <w:tcBorders>
              <w:top w:val="single" w:sz="8" w:space="0" w:color="auto"/>
              <w:left w:val="nil"/>
              <w:bottom w:val="single" w:sz="4" w:space="0" w:color="auto"/>
              <w:right w:val="nil"/>
            </w:tcBorders>
            <w:shd w:val="clear" w:color="000000" w:fill="FFFFFF"/>
            <w:noWrap/>
            <w:hideMark/>
          </w:tcPr>
          <w:p w14:paraId="24287DB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−70,9</w:t>
            </w:r>
            <w:r w:rsidRPr="00367BEC">
              <w:rPr>
                <w:rFonts w:ascii="Times New Roman" w:hAnsi="Times New Roman"/>
                <w:b/>
                <w:color w:val="000000"/>
                <w:sz w:val="16"/>
                <w:vertAlign w:val="superscript"/>
              </w:rPr>
              <w:t>iii</w:t>
            </w:r>
          </w:p>
        </w:tc>
      </w:tr>
    </w:tbl>
    <w:p w14:paraId="0BDEE7F3" w14:textId="77777777" w:rsidR="002E4D99" w:rsidRPr="00367BEC" w:rsidRDefault="002E4D99" w:rsidP="002E4D99">
      <w:pPr>
        <w:spacing w:after="0" w:line="240" w:lineRule="auto"/>
        <w:ind w:right="142"/>
        <w:jc w:val="both"/>
        <w:rPr>
          <w:rFonts w:ascii="Times New Roman" w:hAnsi="Times New Roman" w:cs="Times New Roman"/>
          <w:b/>
          <w:sz w:val="16"/>
          <w:szCs w:val="16"/>
        </w:rPr>
      </w:pPr>
    </w:p>
    <w:p w14:paraId="01750563" w14:textId="6A0B7BFE" w:rsidR="002E4D99" w:rsidRPr="00367BEC" w:rsidRDefault="002E4D99" w:rsidP="002E4D99">
      <w:pPr>
        <w:spacing w:after="0" w:line="240" w:lineRule="auto"/>
        <w:ind w:right="-11"/>
        <w:jc w:val="both"/>
        <w:rPr>
          <w:rFonts w:ascii="Times New Roman" w:eastAsia="Times New Roman" w:hAnsi="Times New Roman" w:cs="Times New Roman"/>
          <w:color w:val="000000"/>
          <w:sz w:val="16"/>
          <w:szCs w:val="16"/>
        </w:rPr>
      </w:pPr>
      <w:r w:rsidRPr="00367BEC">
        <w:rPr>
          <w:rFonts w:ascii="Times New Roman" w:hAnsi="Times New Roman"/>
          <w:b/>
          <w:sz w:val="16"/>
        </w:rPr>
        <w:t>Abreviaturas:</w:t>
      </w:r>
      <w:r w:rsidRPr="00367BEC">
        <w:rPr>
          <w:rFonts w:ascii="Times New Roman" w:hAnsi="Times New Roman"/>
          <w:sz w:val="16"/>
        </w:rPr>
        <w:t xml:space="preserve"> d (día), h (hora), LUM (lumbalgia), IILUM (Índice de Intensidad de la lumbalgia), m (mes), EVN (escala de valoración numérica), OXN (oxicodona/naloxona), PR (</w:t>
      </w:r>
      <w:r w:rsidR="00784720">
        <w:rPr>
          <w:rFonts w:ascii="Times New Roman" w:hAnsi="Times New Roman"/>
          <w:sz w:val="16"/>
        </w:rPr>
        <w:t>liberación prolongada</w:t>
      </w:r>
      <w:r w:rsidRPr="00367BEC">
        <w:rPr>
          <w:rFonts w:ascii="Times New Roman" w:hAnsi="Times New Roman"/>
          <w:sz w:val="16"/>
        </w:rPr>
        <w:t xml:space="preserve">), EE (error estándar), TAP (tapentadol), TRA (tramadol), </w:t>
      </w:r>
      <w:proofErr w:type="spellStart"/>
      <w:r w:rsidRPr="00367BEC">
        <w:rPr>
          <w:rFonts w:ascii="Times New Roman" w:hAnsi="Times New Roman"/>
          <w:sz w:val="16"/>
        </w:rPr>
        <w:t>um</w:t>
      </w:r>
      <w:proofErr w:type="spellEnd"/>
      <w:r w:rsidRPr="00367BEC">
        <w:rPr>
          <w:rFonts w:ascii="Times New Roman" w:hAnsi="Times New Roman"/>
          <w:sz w:val="16"/>
        </w:rPr>
        <w:t>-PEA (</w:t>
      </w:r>
      <w:proofErr w:type="spellStart"/>
      <w:r w:rsidRPr="00367BEC">
        <w:rPr>
          <w:rFonts w:ascii="Times New Roman" w:hAnsi="Times New Roman"/>
          <w:sz w:val="16"/>
        </w:rPr>
        <w:t>palmitoiletanolamida</w:t>
      </w:r>
      <w:proofErr w:type="spellEnd"/>
      <w:r w:rsidRPr="00367BEC">
        <w:rPr>
          <w:rFonts w:ascii="Times New Roman" w:hAnsi="Times New Roman"/>
          <w:sz w:val="16"/>
        </w:rPr>
        <w:t xml:space="preserve"> </w:t>
      </w:r>
      <w:proofErr w:type="spellStart"/>
      <w:r w:rsidRPr="00367BEC">
        <w:rPr>
          <w:rFonts w:ascii="Times New Roman" w:hAnsi="Times New Roman"/>
          <w:sz w:val="16"/>
        </w:rPr>
        <w:t>ultramicronizada</w:t>
      </w:r>
      <w:proofErr w:type="spellEnd"/>
      <w:r w:rsidRPr="00367BEC">
        <w:rPr>
          <w:rFonts w:ascii="Times New Roman" w:hAnsi="Times New Roman"/>
          <w:sz w:val="16"/>
        </w:rPr>
        <w:t xml:space="preserve">); EVA (escala visual analógica), </w:t>
      </w:r>
      <w:proofErr w:type="spellStart"/>
      <w:r w:rsidRPr="00367BEC">
        <w:rPr>
          <w:rFonts w:ascii="Times New Roman" w:hAnsi="Times New Roman"/>
          <w:sz w:val="16"/>
        </w:rPr>
        <w:t>sem</w:t>
      </w:r>
      <w:proofErr w:type="spellEnd"/>
      <w:r w:rsidRPr="00367BEC">
        <w:rPr>
          <w:rFonts w:ascii="Times New Roman" w:hAnsi="Times New Roman"/>
          <w:sz w:val="16"/>
        </w:rPr>
        <w:t xml:space="preserve"> (semana); </w:t>
      </w:r>
      <w:r w:rsidRPr="00367BEC">
        <w:rPr>
          <w:rFonts w:ascii="Times New Roman" w:hAnsi="Times New Roman"/>
          <w:b/>
          <w:color w:val="000000"/>
          <w:sz w:val="20"/>
          <w:vertAlign w:val="superscript"/>
        </w:rPr>
        <w:t xml:space="preserve">a </w:t>
      </w:r>
      <w:r w:rsidRPr="00367BEC">
        <w:rPr>
          <w:rFonts w:ascii="Times New Roman" w:hAnsi="Times New Roman"/>
          <w:color w:val="000000"/>
          <w:sz w:val="16"/>
        </w:rPr>
        <w:t xml:space="preserve">cohorte con el 68,8 % en tratamiento con tramadol, </w:t>
      </w:r>
      <w:r w:rsidRPr="00367BEC">
        <w:rPr>
          <w:rFonts w:ascii="Times New Roman" w:hAnsi="Times New Roman"/>
          <w:b/>
          <w:color w:val="000000"/>
          <w:sz w:val="20"/>
          <w:vertAlign w:val="superscript"/>
        </w:rPr>
        <w:t>b</w:t>
      </w:r>
      <w:r w:rsidRPr="00367BEC">
        <w:rPr>
          <w:rFonts w:ascii="Times New Roman" w:hAnsi="Times New Roman"/>
          <w:color w:val="000000"/>
          <w:sz w:val="16"/>
        </w:rPr>
        <w:t xml:space="preserve"> cohorte con tratamiento previo con opioides potentes</w:t>
      </w:r>
      <w:r w:rsidRPr="00367BEC">
        <w:rPr>
          <w:rFonts w:ascii="Times New Roman" w:hAnsi="Times New Roman"/>
          <w:sz w:val="16"/>
        </w:rPr>
        <w:t xml:space="preserve">; </w:t>
      </w:r>
      <w:r w:rsidRPr="00367BEC">
        <w:rPr>
          <w:rFonts w:ascii="Times New Roman" w:hAnsi="Times New Roman"/>
          <w:color w:val="000000"/>
          <w:sz w:val="16"/>
        </w:rPr>
        <w:t>los datos representan la media (DE) o la mediana [</w:t>
      </w:r>
      <w:r w:rsidR="003C66E0">
        <w:rPr>
          <w:rFonts w:ascii="Times New Roman" w:hAnsi="Times New Roman"/>
          <w:color w:val="000000"/>
          <w:sz w:val="16"/>
        </w:rPr>
        <w:t>R</w:t>
      </w:r>
      <w:r w:rsidR="003C66E0" w:rsidRPr="00367BEC">
        <w:rPr>
          <w:rFonts w:ascii="Times New Roman" w:hAnsi="Times New Roman"/>
          <w:color w:val="000000"/>
          <w:sz w:val="16"/>
        </w:rPr>
        <w:t>IC</w:t>
      </w:r>
      <w:r w:rsidRPr="00367BEC">
        <w:rPr>
          <w:rFonts w:ascii="Times New Roman" w:hAnsi="Times New Roman"/>
          <w:color w:val="000000"/>
          <w:sz w:val="16"/>
        </w:rPr>
        <w:t xml:space="preserve">] a menos que se indique lo contrario; los números en </w:t>
      </w:r>
      <w:r w:rsidRPr="00367BEC">
        <w:rPr>
          <w:rFonts w:ascii="Times New Roman" w:hAnsi="Times New Roman"/>
          <w:i/>
          <w:color w:val="000000"/>
          <w:sz w:val="16"/>
        </w:rPr>
        <w:t>cursiva</w:t>
      </w:r>
      <w:r w:rsidRPr="00367BEC">
        <w:rPr>
          <w:rFonts w:ascii="Times New Roman" w:hAnsi="Times New Roman"/>
          <w:color w:val="000000"/>
          <w:sz w:val="16"/>
        </w:rPr>
        <w:t xml:space="preserve"> se han estimado a partir de datos proporcionados en el manuscrito; las diferencias entre cohortes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r w:rsidRPr="00367BEC">
        <w:rPr>
          <w:rFonts w:ascii="Times New Roman" w:hAnsi="Times New Roman"/>
          <w:b/>
          <w:color w:val="000000"/>
          <w:sz w:val="16"/>
          <w:vertAlign w:val="superscript"/>
        </w:rPr>
        <w:t>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r w:rsidRPr="00367BEC">
        <w:rPr>
          <w:rFonts w:ascii="Times New Roman" w:hAnsi="Times New Roman"/>
          <w:b/>
          <w:color w:val="000000"/>
          <w:sz w:val="16"/>
          <w:vertAlign w:val="superscript"/>
        </w:rPr>
        <w:t>III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0,001); las diferencias </w:t>
      </w:r>
      <w:proofErr w:type="spellStart"/>
      <w:r w:rsidRPr="00367BEC">
        <w:rPr>
          <w:rFonts w:ascii="Times New Roman" w:hAnsi="Times New Roman"/>
          <w:color w:val="000000"/>
          <w:sz w:val="16"/>
        </w:rPr>
        <w:t>intracohorte</w:t>
      </w:r>
      <w:proofErr w:type="spellEnd"/>
      <w:r w:rsidRPr="00367BEC">
        <w:rPr>
          <w:rFonts w:ascii="Times New Roman" w:hAnsi="Times New Roman"/>
          <w:color w:val="000000"/>
          <w:sz w:val="16"/>
        </w:rPr>
        <w:t xml:space="preserve">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proofErr w:type="spellStart"/>
      <w:r w:rsidRPr="00367BEC">
        <w:rPr>
          <w:rFonts w:ascii="Times New Roman" w:hAnsi="Times New Roman"/>
          <w:b/>
          <w:color w:val="000000"/>
          <w:sz w:val="16"/>
          <w:vertAlign w:val="superscript"/>
        </w:rPr>
        <w:t>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proofErr w:type="spellStart"/>
      <w:r w:rsidRPr="00367BEC">
        <w:rPr>
          <w:rFonts w:ascii="Times New Roman" w:hAnsi="Times New Roman"/>
          <w:b/>
          <w:color w:val="000000"/>
          <w:sz w:val="16"/>
          <w:vertAlign w:val="superscript"/>
        </w:rPr>
        <w:t>iii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&lt; 0,001).</w:t>
      </w:r>
    </w:p>
    <w:p w14:paraId="015C4B9C" w14:textId="77777777" w:rsidR="002E4D99" w:rsidRPr="00367BEC" w:rsidRDefault="002E4D99" w:rsidP="002E4D99">
      <w:pPr>
        <w:rPr>
          <w:rFonts w:ascii="Times New Roman" w:hAnsi="Times New Roman" w:cs="Times New Roman"/>
          <w:b/>
          <w:sz w:val="24"/>
          <w:szCs w:val="24"/>
        </w:rPr>
      </w:pPr>
      <w:r w:rsidRPr="00367BEC">
        <w:br w:type="page"/>
      </w:r>
    </w:p>
    <w:p w14:paraId="4CCD4C54"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6. </w:t>
      </w:r>
      <w:r w:rsidRPr="00367BEC">
        <w:rPr>
          <w:rFonts w:ascii="Times New Roman" w:hAnsi="Times New Roman"/>
        </w:rPr>
        <w:t>Resultados de respuesta analgésica en cada estudio</w:t>
      </w:r>
    </w:p>
    <w:p w14:paraId="7AF621BE"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5101" w:type="pct"/>
        <w:tblCellMar>
          <w:left w:w="28" w:type="dxa"/>
          <w:right w:w="28" w:type="dxa"/>
        </w:tblCellMar>
        <w:tblLook w:val="04A0" w:firstRow="1" w:lastRow="0" w:firstColumn="1" w:lastColumn="0" w:noHBand="0" w:noVBand="1"/>
      </w:tblPr>
      <w:tblGrid>
        <w:gridCol w:w="1441"/>
        <w:gridCol w:w="1346"/>
        <w:gridCol w:w="2793"/>
        <w:gridCol w:w="342"/>
        <w:gridCol w:w="109"/>
        <w:gridCol w:w="500"/>
        <w:gridCol w:w="579"/>
        <w:gridCol w:w="403"/>
        <w:gridCol w:w="486"/>
        <w:gridCol w:w="847"/>
        <w:gridCol w:w="1178"/>
        <w:gridCol w:w="1546"/>
      </w:tblGrid>
      <w:tr w:rsidR="002E4D99" w:rsidRPr="00367BEC" w14:paraId="53F296CF" w14:textId="77777777" w:rsidTr="00CF1C1E">
        <w:trPr>
          <w:trHeight w:val="283"/>
          <w:tblHeader/>
        </w:trPr>
        <w:tc>
          <w:tcPr>
            <w:tcW w:w="623" w:type="pct"/>
            <w:tcBorders>
              <w:top w:val="nil"/>
              <w:left w:val="nil"/>
              <w:bottom w:val="single" w:sz="8" w:space="0" w:color="auto"/>
              <w:right w:val="nil"/>
            </w:tcBorders>
            <w:shd w:val="clear" w:color="000000" w:fill="FFFFFF"/>
            <w:noWrap/>
            <w:vAlign w:val="center"/>
            <w:hideMark/>
          </w:tcPr>
          <w:p w14:paraId="4F7964D7"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Referencia</w:t>
            </w:r>
          </w:p>
        </w:tc>
        <w:tc>
          <w:tcPr>
            <w:tcW w:w="582" w:type="pct"/>
            <w:tcBorders>
              <w:top w:val="nil"/>
              <w:left w:val="nil"/>
              <w:bottom w:val="single" w:sz="8" w:space="0" w:color="auto"/>
              <w:right w:val="nil"/>
            </w:tcBorders>
            <w:shd w:val="clear" w:color="000000" w:fill="FFFFFF"/>
            <w:noWrap/>
            <w:vAlign w:val="center"/>
            <w:hideMark/>
          </w:tcPr>
          <w:p w14:paraId="7F1E7ED1"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Cohorte</w:t>
            </w:r>
          </w:p>
        </w:tc>
        <w:tc>
          <w:tcPr>
            <w:tcW w:w="1207" w:type="pct"/>
            <w:tcBorders>
              <w:top w:val="nil"/>
              <w:left w:val="nil"/>
              <w:bottom w:val="single" w:sz="8" w:space="0" w:color="auto"/>
              <w:right w:val="nil"/>
            </w:tcBorders>
            <w:shd w:val="clear" w:color="000000" w:fill="FFFFFF"/>
            <w:noWrap/>
            <w:vAlign w:val="center"/>
            <w:hideMark/>
          </w:tcPr>
          <w:p w14:paraId="4FF41BA6"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Respuesta</w:t>
            </w:r>
          </w:p>
        </w:tc>
        <w:tc>
          <w:tcPr>
            <w:tcW w:w="411" w:type="pct"/>
            <w:gridSpan w:val="3"/>
            <w:tcBorders>
              <w:top w:val="nil"/>
              <w:left w:val="nil"/>
              <w:bottom w:val="single" w:sz="8" w:space="0" w:color="auto"/>
              <w:right w:val="nil"/>
            </w:tcBorders>
            <w:shd w:val="clear" w:color="000000" w:fill="FFFFFF"/>
            <w:noWrap/>
            <w:vAlign w:val="center"/>
            <w:hideMark/>
          </w:tcPr>
          <w:p w14:paraId="62D595BB"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Inicio (%)</w:t>
            </w:r>
          </w:p>
        </w:tc>
        <w:tc>
          <w:tcPr>
            <w:tcW w:w="250" w:type="pct"/>
            <w:tcBorders>
              <w:top w:val="nil"/>
              <w:left w:val="nil"/>
              <w:bottom w:val="single" w:sz="8" w:space="0" w:color="auto"/>
              <w:right w:val="nil"/>
            </w:tcBorders>
            <w:shd w:val="clear" w:color="000000" w:fill="FFFFFF"/>
            <w:noWrap/>
            <w:vAlign w:val="center"/>
            <w:hideMark/>
          </w:tcPr>
          <w:p w14:paraId="36DE0C63"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(n/N)</w:t>
            </w:r>
          </w:p>
        </w:tc>
        <w:tc>
          <w:tcPr>
            <w:tcW w:w="384" w:type="pct"/>
            <w:gridSpan w:val="2"/>
            <w:tcBorders>
              <w:top w:val="nil"/>
              <w:left w:val="nil"/>
              <w:bottom w:val="single" w:sz="8" w:space="0" w:color="auto"/>
              <w:right w:val="nil"/>
            </w:tcBorders>
            <w:shd w:val="clear" w:color="000000" w:fill="FFFFFF"/>
            <w:noWrap/>
            <w:vAlign w:val="center"/>
            <w:hideMark/>
          </w:tcPr>
          <w:p w14:paraId="7F8E098D"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Final (%)</w:t>
            </w:r>
          </w:p>
        </w:tc>
        <w:tc>
          <w:tcPr>
            <w:tcW w:w="366" w:type="pct"/>
            <w:tcBorders>
              <w:top w:val="nil"/>
              <w:left w:val="nil"/>
              <w:bottom w:val="single" w:sz="8" w:space="0" w:color="auto"/>
              <w:right w:val="nil"/>
            </w:tcBorders>
            <w:shd w:val="clear" w:color="000000" w:fill="FFFFFF"/>
            <w:noWrap/>
            <w:vAlign w:val="center"/>
            <w:hideMark/>
          </w:tcPr>
          <w:p w14:paraId="07117364"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(n/N)</w:t>
            </w:r>
          </w:p>
        </w:tc>
        <w:tc>
          <w:tcPr>
            <w:tcW w:w="509" w:type="pct"/>
            <w:tcBorders>
              <w:top w:val="nil"/>
              <w:left w:val="nil"/>
              <w:bottom w:val="single" w:sz="8" w:space="0" w:color="auto"/>
              <w:right w:val="nil"/>
            </w:tcBorders>
            <w:shd w:val="clear" w:color="000000" w:fill="FFFFFF"/>
            <w:vAlign w:val="center"/>
            <w:hideMark/>
          </w:tcPr>
          <w:p w14:paraId="43847EE5"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Δ absoluto</w:t>
            </w:r>
          </w:p>
        </w:tc>
        <w:tc>
          <w:tcPr>
            <w:tcW w:w="668" w:type="pct"/>
            <w:tcBorders>
              <w:top w:val="nil"/>
              <w:left w:val="nil"/>
              <w:bottom w:val="single" w:sz="8" w:space="0" w:color="auto"/>
              <w:right w:val="nil"/>
            </w:tcBorders>
            <w:shd w:val="clear" w:color="000000" w:fill="FFFFFF"/>
            <w:vAlign w:val="center"/>
            <w:hideMark/>
          </w:tcPr>
          <w:p w14:paraId="4D05008A" w14:textId="77777777" w:rsidR="002E4D99" w:rsidRPr="00367BEC" w:rsidRDefault="002E4D99" w:rsidP="00CF1C1E">
            <w:pPr>
              <w:spacing w:after="0" w:line="240" w:lineRule="auto"/>
              <w:jc w:val="both"/>
              <w:rPr>
                <w:rFonts w:ascii="Times New Roman" w:eastAsia="Times New Roman" w:hAnsi="Times New Roman" w:cs="Times New Roman"/>
                <w:b/>
                <w:bCs/>
                <w:sz w:val="16"/>
                <w:szCs w:val="16"/>
              </w:rPr>
            </w:pPr>
            <w:r w:rsidRPr="00367BEC">
              <w:rPr>
                <w:rFonts w:ascii="Times New Roman" w:hAnsi="Times New Roman"/>
                <w:b/>
                <w:sz w:val="16"/>
              </w:rPr>
              <w:t>Δ relativo (%)</w:t>
            </w:r>
          </w:p>
        </w:tc>
      </w:tr>
      <w:tr w:rsidR="002E4D99" w:rsidRPr="00367BEC" w14:paraId="0EBD4DB0" w14:textId="77777777" w:rsidTr="00CF1C1E">
        <w:trPr>
          <w:trHeight w:val="20"/>
        </w:trPr>
        <w:tc>
          <w:tcPr>
            <w:tcW w:w="623" w:type="pct"/>
            <w:tcBorders>
              <w:top w:val="nil"/>
              <w:left w:val="nil"/>
              <w:bottom w:val="nil"/>
              <w:right w:val="nil"/>
            </w:tcBorders>
            <w:shd w:val="clear" w:color="000000" w:fill="FFFFFF"/>
            <w:noWrap/>
            <w:hideMark/>
          </w:tcPr>
          <w:p w14:paraId="1C90538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Passavanti</w:t>
            </w:r>
            <w:proofErr w:type="spellEnd"/>
            <w:r w:rsidRPr="00367BEC">
              <w:rPr>
                <w:rFonts w:ascii="Times New Roman" w:hAnsi="Times New Roman"/>
                <w:color w:val="000000"/>
                <w:sz w:val="16"/>
              </w:rPr>
              <w:t xml:space="preserve"> 2017</w:t>
            </w:r>
          </w:p>
        </w:tc>
        <w:tc>
          <w:tcPr>
            <w:tcW w:w="582" w:type="pct"/>
            <w:tcBorders>
              <w:top w:val="nil"/>
              <w:left w:val="nil"/>
              <w:bottom w:val="nil"/>
              <w:right w:val="nil"/>
            </w:tcBorders>
            <w:shd w:val="clear" w:color="000000" w:fill="FFFFFF"/>
            <w:noWrap/>
            <w:hideMark/>
          </w:tcPr>
          <w:p w14:paraId="67E10AB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207" w:type="pct"/>
            <w:tcBorders>
              <w:top w:val="nil"/>
              <w:left w:val="nil"/>
              <w:bottom w:val="nil"/>
              <w:right w:val="nil"/>
            </w:tcBorders>
            <w:shd w:val="clear" w:color="000000" w:fill="FFFFFF"/>
            <w:noWrap/>
            <w:hideMark/>
          </w:tcPr>
          <w:p w14:paraId="3F65739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≤3 (%)</w:t>
            </w:r>
          </w:p>
        </w:tc>
        <w:tc>
          <w:tcPr>
            <w:tcW w:w="411" w:type="pct"/>
            <w:gridSpan w:val="3"/>
            <w:tcBorders>
              <w:top w:val="nil"/>
              <w:left w:val="nil"/>
              <w:bottom w:val="nil"/>
              <w:right w:val="nil"/>
            </w:tcBorders>
            <w:shd w:val="clear" w:color="000000" w:fill="FFFFFF"/>
            <w:noWrap/>
            <w:hideMark/>
          </w:tcPr>
          <w:p w14:paraId="3211130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5414720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2F663E2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0,0</w:t>
            </w:r>
          </w:p>
        </w:tc>
        <w:tc>
          <w:tcPr>
            <w:tcW w:w="576" w:type="pct"/>
            <w:gridSpan w:val="2"/>
            <w:tcBorders>
              <w:top w:val="nil"/>
              <w:left w:val="nil"/>
              <w:bottom w:val="nil"/>
              <w:right w:val="nil"/>
            </w:tcBorders>
            <w:shd w:val="clear" w:color="000000" w:fill="FFFFFF"/>
            <w:noWrap/>
            <w:hideMark/>
          </w:tcPr>
          <w:p w14:paraId="006AEA9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0</w:t>
            </w:r>
            <w:r w:rsidRPr="00367BEC">
              <w:rPr>
                <w:rFonts w:ascii="Times New Roman" w:hAnsi="Times New Roman"/>
                <w:color w:val="000000"/>
                <w:sz w:val="16"/>
              </w:rPr>
              <w:t>/25)</w:t>
            </w:r>
            <w:proofErr w:type="spellStart"/>
            <w:r w:rsidRPr="00367BEC">
              <w:rPr>
                <w:rFonts w:ascii="Times New Roman" w:hAnsi="Times New Roman"/>
                <w:b/>
                <w:color w:val="000000"/>
                <w:sz w:val="16"/>
                <w:vertAlign w:val="superscript"/>
              </w:rPr>
              <w:t>n.s.</w:t>
            </w:r>
            <w:proofErr w:type="spellEnd"/>
          </w:p>
        </w:tc>
        <w:tc>
          <w:tcPr>
            <w:tcW w:w="509" w:type="pct"/>
            <w:tcBorders>
              <w:top w:val="nil"/>
              <w:left w:val="nil"/>
              <w:bottom w:val="nil"/>
              <w:right w:val="nil"/>
            </w:tcBorders>
            <w:shd w:val="clear" w:color="000000" w:fill="FFFFFF"/>
            <w:noWrap/>
            <w:hideMark/>
          </w:tcPr>
          <w:p w14:paraId="20B71BF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2BB9B76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2C468B4" w14:textId="77777777" w:rsidTr="00CF1C1E">
        <w:trPr>
          <w:trHeight w:val="20"/>
        </w:trPr>
        <w:tc>
          <w:tcPr>
            <w:tcW w:w="623" w:type="pct"/>
            <w:tcBorders>
              <w:top w:val="nil"/>
              <w:left w:val="nil"/>
              <w:bottom w:val="nil"/>
              <w:right w:val="nil"/>
            </w:tcBorders>
            <w:shd w:val="clear" w:color="000000" w:fill="FFFFFF"/>
            <w:noWrap/>
            <w:hideMark/>
          </w:tcPr>
          <w:p w14:paraId="0F5A064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0BB0CAB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185DD80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↓≥2 (%)</w:t>
            </w:r>
          </w:p>
        </w:tc>
        <w:tc>
          <w:tcPr>
            <w:tcW w:w="411" w:type="pct"/>
            <w:gridSpan w:val="3"/>
            <w:tcBorders>
              <w:top w:val="nil"/>
              <w:left w:val="nil"/>
              <w:bottom w:val="nil"/>
              <w:right w:val="nil"/>
            </w:tcBorders>
            <w:shd w:val="clear" w:color="000000" w:fill="FFFFFF"/>
            <w:noWrap/>
            <w:hideMark/>
          </w:tcPr>
          <w:p w14:paraId="6334C12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79E286A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0254FE3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68,0</w:t>
            </w:r>
          </w:p>
        </w:tc>
        <w:tc>
          <w:tcPr>
            <w:tcW w:w="576" w:type="pct"/>
            <w:gridSpan w:val="2"/>
            <w:tcBorders>
              <w:top w:val="nil"/>
              <w:left w:val="nil"/>
              <w:bottom w:val="nil"/>
              <w:right w:val="nil"/>
            </w:tcBorders>
            <w:shd w:val="clear" w:color="000000" w:fill="FFFFFF"/>
            <w:noWrap/>
            <w:hideMark/>
          </w:tcPr>
          <w:p w14:paraId="11A9C23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17</w:t>
            </w:r>
            <w:r w:rsidRPr="00367BEC">
              <w:rPr>
                <w:rFonts w:ascii="Times New Roman" w:hAnsi="Times New Roman"/>
                <w:color w:val="000000"/>
                <w:sz w:val="16"/>
              </w:rPr>
              <w:t>/25)</w:t>
            </w:r>
            <w:r w:rsidRPr="00367BEC">
              <w:rPr>
                <w:rFonts w:ascii="Times New Roman" w:hAnsi="Times New Roman"/>
                <w:b/>
                <w:color w:val="000000"/>
                <w:sz w:val="16"/>
                <w:vertAlign w:val="superscript"/>
              </w:rPr>
              <w:t>III</w:t>
            </w:r>
          </w:p>
        </w:tc>
        <w:tc>
          <w:tcPr>
            <w:tcW w:w="509" w:type="pct"/>
            <w:tcBorders>
              <w:top w:val="nil"/>
              <w:left w:val="nil"/>
              <w:bottom w:val="nil"/>
              <w:right w:val="nil"/>
            </w:tcBorders>
            <w:shd w:val="clear" w:color="000000" w:fill="FFFFFF"/>
            <w:noWrap/>
            <w:hideMark/>
          </w:tcPr>
          <w:p w14:paraId="388CE5A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10539D4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306025D" w14:textId="77777777" w:rsidTr="00CF1C1E">
        <w:trPr>
          <w:trHeight w:val="20"/>
        </w:trPr>
        <w:tc>
          <w:tcPr>
            <w:tcW w:w="623" w:type="pct"/>
            <w:tcBorders>
              <w:top w:val="nil"/>
              <w:left w:val="nil"/>
              <w:bottom w:val="nil"/>
              <w:right w:val="nil"/>
            </w:tcBorders>
            <w:shd w:val="clear" w:color="000000" w:fill="FFFFFF"/>
            <w:noWrap/>
            <w:hideMark/>
          </w:tcPr>
          <w:p w14:paraId="73F1B40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right w:val="nil"/>
            </w:tcBorders>
            <w:shd w:val="clear" w:color="000000" w:fill="FFFFFF"/>
            <w:noWrap/>
            <w:hideMark/>
          </w:tcPr>
          <w:p w14:paraId="1A946D7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right w:val="nil"/>
            </w:tcBorders>
            <w:shd w:val="clear" w:color="000000" w:fill="FFFFFF"/>
            <w:noWrap/>
            <w:hideMark/>
          </w:tcPr>
          <w:p w14:paraId="4B37A6D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↓≥3 (%)</w:t>
            </w:r>
          </w:p>
        </w:tc>
        <w:tc>
          <w:tcPr>
            <w:tcW w:w="411" w:type="pct"/>
            <w:gridSpan w:val="3"/>
            <w:tcBorders>
              <w:top w:val="nil"/>
              <w:left w:val="nil"/>
              <w:right w:val="nil"/>
            </w:tcBorders>
            <w:shd w:val="clear" w:color="000000" w:fill="FFFFFF"/>
            <w:noWrap/>
            <w:hideMark/>
          </w:tcPr>
          <w:p w14:paraId="3107C28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right w:val="nil"/>
            </w:tcBorders>
            <w:shd w:val="clear" w:color="000000" w:fill="FFFFFF"/>
            <w:noWrap/>
            <w:hideMark/>
          </w:tcPr>
          <w:p w14:paraId="11BE484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right w:val="nil"/>
            </w:tcBorders>
            <w:shd w:val="clear" w:color="000000" w:fill="FFFFFF"/>
            <w:noWrap/>
            <w:hideMark/>
          </w:tcPr>
          <w:p w14:paraId="4BE87F9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8,0</w:t>
            </w:r>
          </w:p>
        </w:tc>
        <w:tc>
          <w:tcPr>
            <w:tcW w:w="576" w:type="pct"/>
            <w:gridSpan w:val="2"/>
            <w:tcBorders>
              <w:top w:val="nil"/>
              <w:left w:val="nil"/>
              <w:right w:val="nil"/>
            </w:tcBorders>
            <w:shd w:val="clear" w:color="000000" w:fill="FFFFFF"/>
            <w:noWrap/>
            <w:hideMark/>
          </w:tcPr>
          <w:p w14:paraId="3173F15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w:t>
            </w:r>
            <w:r w:rsidRPr="00367BEC">
              <w:rPr>
                <w:rFonts w:ascii="Times New Roman" w:hAnsi="Times New Roman"/>
                <w:color w:val="000000"/>
                <w:sz w:val="16"/>
              </w:rPr>
              <w:t>/25)</w:t>
            </w:r>
            <w:r w:rsidRPr="00367BEC">
              <w:rPr>
                <w:rFonts w:ascii="Times New Roman" w:hAnsi="Times New Roman"/>
                <w:b/>
                <w:color w:val="000000"/>
                <w:sz w:val="16"/>
                <w:vertAlign w:val="superscript"/>
              </w:rPr>
              <w:t>III</w:t>
            </w:r>
          </w:p>
        </w:tc>
        <w:tc>
          <w:tcPr>
            <w:tcW w:w="509" w:type="pct"/>
            <w:tcBorders>
              <w:top w:val="nil"/>
              <w:left w:val="nil"/>
              <w:right w:val="nil"/>
            </w:tcBorders>
            <w:shd w:val="clear" w:color="000000" w:fill="FFFFFF"/>
            <w:noWrap/>
            <w:hideMark/>
          </w:tcPr>
          <w:p w14:paraId="47FD770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right w:val="nil"/>
            </w:tcBorders>
            <w:shd w:val="clear" w:color="000000" w:fill="FFFFFF"/>
            <w:noWrap/>
            <w:hideMark/>
          </w:tcPr>
          <w:p w14:paraId="61CB659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5D9B155" w14:textId="77777777" w:rsidTr="00CF1C1E">
        <w:trPr>
          <w:trHeight w:val="20"/>
        </w:trPr>
        <w:tc>
          <w:tcPr>
            <w:tcW w:w="623" w:type="pct"/>
            <w:tcBorders>
              <w:top w:val="nil"/>
              <w:left w:val="nil"/>
              <w:bottom w:val="nil"/>
              <w:right w:val="nil"/>
            </w:tcBorders>
            <w:shd w:val="clear" w:color="000000" w:fill="FFFFFF"/>
            <w:noWrap/>
            <w:hideMark/>
          </w:tcPr>
          <w:p w14:paraId="28958AD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4" w:space="0" w:color="D0CECE" w:themeColor="background2" w:themeShade="E6"/>
              <w:right w:val="nil"/>
            </w:tcBorders>
            <w:shd w:val="clear" w:color="000000" w:fill="FFFFFF"/>
            <w:noWrap/>
            <w:hideMark/>
          </w:tcPr>
          <w:p w14:paraId="0BFB566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4" w:space="0" w:color="D0CECE" w:themeColor="background2" w:themeShade="E6"/>
              <w:right w:val="nil"/>
            </w:tcBorders>
            <w:shd w:val="clear" w:color="000000" w:fill="FFFFFF"/>
            <w:noWrap/>
            <w:hideMark/>
          </w:tcPr>
          <w:p w14:paraId="442DBB0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↓≥4 (%)</w:t>
            </w:r>
          </w:p>
        </w:tc>
        <w:tc>
          <w:tcPr>
            <w:tcW w:w="411" w:type="pct"/>
            <w:gridSpan w:val="3"/>
            <w:tcBorders>
              <w:top w:val="nil"/>
              <w:left w:val="nil"/>
              <w:bottom w:val="single" w:sz="4" w:space="0" w:color="D0CECE" w:themeColor="background2" w:themeShade="E6"/>
              <w:right w:val="nil"/>
            </w:tcBorders>
            <w:shd w:val="clear" w:color="000000" w:fill="FFFFFF"/>
            <w:noWrap/>
            <w:hideMark/>
          </w:tcPr>
          <w:p w14:paraId="296BE13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single" w:sz="4" w:space="0" w:color="D0CECE" w:themeColor="background2" w:themeShade="E6"/>
              <w:right w:val="nil"/>
            </w:tcBorders>
            <w:shd w:val="clear" w:color="000000" w:fill="FFFFFF"/>
            <w:noWrap/>
            <w:hideMark/>
          </w:tcPr>
          <w:p w14:paraId="2AAAE7B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4" w:space="0" w:color="D0CECE" w:themeColor="background2" w:themeShade="E6"/>
              <w:right w:val="nil"/>
            </w:tcBorders>
            <w:shd w:val="clear" w:color="000000" w:fill="FFFFFF"/>
            <w:noWrap/>
            <w:hideMark/>
          </w:tcPr>
          <w:p w14:paraId="7989672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0,0</w:t>
            </w:r>
          </w:p>
        </w:tc>
        <w:tc>
          <w:tcPr>
            <w:tcW w:w="576" w:type="pct"/>
            <w:gridSpan w:val="2"/>
            <w:tcBorders>
              <w:top w:val="nil"/>
              <w:left w:val="nil"/>
              <w:bottom w:val="single" w:sz="4" w:space="0" w:color="D0CECE" w:themeColor="background2" w:themeShade="E6"/>
              <w:right w:val="nil"/>
            </w:tcBorders>
            <w:shd w:val="clear" w:color="000000" w:fill="FFFFFF"/>
            <w:noWrap/>
            <w:hideMark/>
          </w:tcPr>
          <w:p w14:paraId="2746F1B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0</w:t>
            </w:r>
            <w:r w:rsidRPr="00367BEC">
              <w:rPr>
                <w:rFonts w:ascii="Times New Roman" w:hAnsi="Times New Roman"/>
                <w:color w:val="000000"/>
                <w:sz w:val="16"/>
              </w:rPr>
              <w:t>/25)</w:t>
            </w:r>
            <w:r w:rsidRPr="00367BEC">
              <w:rPr>
                <w:rFonts w:ascii="Times New Roman" w:hAnsi="Times New Roman"/>
                <w:b/>
                <w:color w:val="000000"/>
                <w:sz w:val="16"/>
                <w:vertAlign w:val="superscript"/>
              </w:rPr>
              <w:t>I</w:t>
            </w:r>
          </w:p>
        </w:tc>
        <w:tc>
          <w:tcPr>
            <w:tcW w:w="509" w:type="pct"/>
            <w:tcBorders>
              <w:top w:val="nil"/>
              <w:left w:val="nil"/>
              <w:bottom w:val="single" w:sz="4" w:space="0" w:color="D0CECE" w:themeColor="background2" w:themeShade="E6"/>
              <w:right w:val="nil"/>
            </w:tcBorders>
            <w:shd w:val="clear" w:color="000000" w:fill="FFFFFF"/>
            <w:noWrap/>
            <w:hideMark/>
          </w:tcPr>
          <w:p w14:paraId="67B3323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4" w:space="0" w:color="D0CECE" w:themeColor="background2" w:themeShade="E6"/>
              <w:right w:val="nil"/>
            </w:tcBorders>
            <w:shd w:val="clear" w:color="000000" w:fill="FFFFFF"/>
            <w:noWrap/>
            <w:hideMark/>
          </w:tcPr>
          <w:p w14:paraId="609A988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81BDF2F" w14:textId="77777777" w:rsidTr="00CF1C1E">
        <w:trPr>
          <w:trHeight w:val="20"/>
        </w:trPr>
        <w:tc>
          <w:tcPr>
            <w:tcW w:w="623" w:type="pct"/>
            <w:tcBorders>
              <w:top w:val="nil"/>
              <w:left w:val="nil"/>
              <w:bottom w:val="nil"/>
              <w:right w:val="nil"/>
            </w:tcBorders>
            <w:shd w:val="clear" w:color="000000" w:fill="FFFFFF"/>
            <w:noWrap/>
            <w:hideMark/>
          </w:tcPr>
          <w:p w14:paraId="2B74D84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vMerge w:val="restart"/>
            <w:tcBorders>
              <w:top w:val="single" w:sz="4" w:space="0" w:color="D0CECE" w:themeColor="background2" w:themeShade="E6"/>
              <w:left w:val="nil"/>
              <w:right w:val="nil"/>
            </w:tcBorders>
            <w:shd w:val="clear" w:color="000000" w:fill="FFFFFF"/>
            <w:noWrap/>
            <w:hideMark/>
          </w:tcPr>
          <w:p w14:paraId="3C990F4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 </w:t>
            </w:r>
            <w:proofErr w:type="spellStart"/>
            <w:r w:rsidRPr="00367BEC">
              <w:rPr>
                <w:rFonts w:ascii="Times New Roman" w:hAnsi="Times New Roman"/>
                <w:color w:val="000000"/>
                <w:sz w:val="16"/>
              </w:rPr>
              <w:t>um</w:t>
            </w:r>
            <w:proofErr w:type="spellEnd"/>
            <w:r w:rsidRPr="00367BEC">
              <w:rPr>
                <w:rFonts w:ascii="Times New Roman" w:hAnsi="Times New Roman"/>
                <w:color w:val="000000"/>
                <w:sz w:val="16"/>
              </w:rPr>
              <w:t>-PEA</w:t>
            </w:r>
          </w:p>
          <w:p w14:paraId="56ECE71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p w14:paraId="59697F2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single" w:sz="4" w:space="0" w:color="D0CECE" w:themeColor="background2" w:themeShade="E6"/>
              <w:left w:val="nil"/>
              <w:bottom w:val="nil"/>
              <w:right w:val="nil"/>
            </w:tcBorders>
            <w:shd w:val="clear" w:color="000000" w:fill="FFFFFF"/>
            <w:noWrap/>
            <w:hideMark/>
          </w:tcPr>
          <w:p w14:paraId="3F40887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≤3 (%)</w:t>
            </w:r>
          </w:p>
        </w:tc>
        <w:tc>
          <w:tcPr>
            <w:tcW w:w="411" w:type="pct"/>
            <w:gridSpan w:val="3"/>
            <w:tcBorders>
              <w:top w:val="single" w:sz="4" w:space="0" w:color="D0CECE" w:themeColor="background2" w:themeShade="E6"/>
              <w:left w:val="nil"/>
              <w:bottom w:val="nil"/>
              <w:right w:val="nil"/>
            </w:tcBorders>
            <w:shd w:val="clear" w:color="000000" w:fill="FFFFFF"/>
            <w:noWrap/>
            <w:hideMark/>
          </w:tcPr>
          <w:p w14:paraId="29BFE9A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single" w:sz="4" w:space="0" w:color="D0CECE" w:themeColor="background2" w:themeShade="E6"/>
              <w:left w:val="nil"/>
              <w:bottom w:val="nil"/>
              <w:right w:val="nil"/>
            </w:tcBorders>
            <w:shd w:val="clear" w:color="000000" w:fill="FFFFFF"/>
            <w:noWrap/>
            <w:hideMark/>
          </w:tcPr>
          <w:p w14:paraId="4273ED9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single" w:sz="4" w:space="0" w:color="D0CECE" w:themeColor="background2" w:themeShade="E6"/>
              <w:left w:val="nil"/>
              <w:bottom w:val="nil"/>
              <w:right w:val="nil"/>
            </w:tcBorders>
            <w:shd w:val="clear" w:color="000000" w:fill="FFFFFF"/>
            <w:noWrap/>
            <w:hideMark/>
          </w:tcPr>
          <w:p w14:paraId="746E4A4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0,0</w:t>
            </w:r>
          </w:p>
        </w:tc>
        <w:tc>
          <w:tcPr>
            <w:tcW w:w="576" w:type="pct"/>
            <w:gridSpan w:val="2"/>
            <w:tcBorders>
              <w:top w:val="single" w:sz="4" w:space="0" w:color="D0CECE" w:themeColor="background2" w:themeShade="E6"/>
              <w:left w:val="nil"/>
              <w:bottom w:val="nil"/>
              <w:right w:val="nil"/>
            </w:tcBorders>
            <w:shd w:val="clear" w:color="000000" w:fill="FFFFFF"/>
            <w:noWrap/>
            <w:hideMark/>
          </w:tcPr>
          <w:p w14:paraId="4623E41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0</w:t>
            </w:r>
            <w:r w:rsidRPr="00367BEC">
              <w:rPr>
                <w:rFonts w:ascii="Times New Roman" w:hAnsi="Times New Roman"/>
                <w:color w:val="000000"/>
                <w:sz w:val="16"/>
              </w:rPr>
              <w:t>/30)</w:t>
            </w:r>
          </w:p>
        </w:tc>
        <w:tc>
          <w:tcPr>
            <w:tcW w:w="509" w:type="pct"/>
            <w:tcBorders>
              <w:top w:val="single" w:sz="4" w:space="0" w:color="D0CECE" w:themeColor="background2" w:themeShade="E6"/>
              <w:left w:val="nil"/>
              <w:bottom w:val="nil"/>
              <w:right w:val="nil"/>
            </w:tcBorders>
            <w:shd w:val="clear" w:color="000000" w:fill="FFFFFF"/>
            <w:noWrap/>
            <w:hideMark/>
          </w:tcPr>
          <w:p w14:paraId="69F190E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single" w:sz="4" w:space="0" w:color="D0CECE" w:themeColor="background2" w:themeShade="E6"/>
              <w:left w:val="nil"/>
              <w:bottom w:val="nil"/>
              <w:right w:val="nil"/>
            </w:tcBorders>
            <w:shd w:val="clear" w:color="000000" w:fill="FFFFFF"/>
            <w:noWrap/>
            <w:hideMark/>
          </w:tcPr>
          <w:p w14:paraId="7351E71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AB7FA5B" w14:textId="77777777" w:rsidTr="00CF1C1E">
        <w:trPr>
          <w:trHeight w:val="20"/>
        </w:trPr>
        <w:tc>
          <w:tcPr>
            <w:tcW w:w="623" w:type="pct"/>
            <w:tcBorders>
              <w:top w:val="nil"/>
              <w:left w:val="nil"/>
              <w:bottom w:val="nil"/>
              <w:right w:val="nil"/>
            </w:tcBorders>
            <w:shd w:val="clear" w:color="000000" w:fill="FFFFFF"/>
            <w:noWrap/>
            <w:hideMark/>
          </w:tcPr>
          <w:p w14:paraId="504DE8F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vMerge/>
            <w:tcBorders>
              <w:left w:val="nil"/>
              <w:right w:val="nil"/>
            </w:tcBorders>
            <w:shd w:val="clear" w:color="000000" w:fill="FFFFFF"/>
            <w:noWrap/>
            <w:hideMark/>
          </w:tcPr>
          <w:p w14:paraId="57EF0BD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lang w:eastAsia="es-ES"/>
              </w:rPr>
            </w:pPr>
          </w:p>
        </w:tc>
        <w:tc>
          <w:tcPr>
            <w:tcW w:w="1207" w:type="pct"/>
            <w:tcBorders>
              <w:top w:val="nil"/>
              <w:left w:val="nil"/>
              <w:bottom w:val="nil"/>
              <w:right w:val="nil"/>
            </w:tcBorders>
            <w:shd w:val="clear" w:color="000000" w:fill="FFFFFF"/>
            <w:noWrap/>
            <w:hideMark/>
          </w:tcPr>
          <w:p w14:paraId="08A7301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↓≥2 (%)</w:t>
            </w:r>
          </w:p>
        </w:tc>
        <w:tc>
          <w:tcPr>
            <w:tcW w:w="411" w:type="pct"/>
            <w:gridSpan w:val="3"/>
            <w:tcBorders>
              <w:top w:val="nil"/>
              <w:left w:val="nil"/>
              <w:bottom w:val="nil"/>
              <w:right w:val="nil"/>
            </w:tcBorders>
            <w:shd w:val="clear" w:color="000000" w:fill="FFFFFF"/>
            <w:noWrap/>
            <w:hideMark/>
          </w:tcPr>
          <w:p w14:paraId="10EBF60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474991E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6C6F295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100</w:t>
            </w:r>
          </w:p>
        </w:tc>
        <w:tc>
          <w:tcPr>
            <w:tcW w:w="576" w:type="pct"/>
            <w:gridSpan w:val="2"/>
            <w:tcBorders>
              <w:top w:val="nil"/>
              <w:left w:val="nil"/>
              <w:bottom w:val="nil"/>
              <w:right w:val="nil"/>
            </w:tcBorders>
            <w:shd w:val="clear" w:color="000000" w:fill="FFFFFF"/>
            <w:noWrap/>
            <w:hideMark/>
          </w:tcPr>
          <w:p w14:paraId="7F91504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30</w:t>
            </w:r>
            <w:r w:rsidRPr="00367BEC">
              <w:rPr>
                <w:rFonts w:ascii="Times New Roman" w:hAnsi="Times New Roman"/>
                <w:color w:val="000000"/>
                <w:sz w:val="16"/>
              </w:rPr>
              <w:t>/30)</w:t>
            </w:r>
          </w:p>
        </w:tc>
        <w:tc>
          <w:tcPr>
            <w:tcW w:w="509" w:type="pct"/>
            <w:tcBorders>
              <w:top w:val="nil"/>
              <w:left w:val="nil"/>
              <w:bottom w:val="nil"/>
              <w:right w:val="nil"/>
            </w:tcBorders>
            <w:shd w:val="clear" w:color="000000" w:fill="FFFFFF"/>
            <w:noWrap/>
            <w:hideMark/>
          </w:tcPr>
          <w:p w14:paraId="04C0DE9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76287FB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4990265" w14:textId="77777777" w:rsidTr="00CF1C1E">
        <w:trPr>
          <w:trHeight w:val="20"/>
        </w:trPr>
        <w:tc>
          <w:tcPr>
            <w:tcW w:w="623" w:type="pct"/>
            <w:tcBorders>
              <w:top w:val="nil"/>
              <w:left w:val="nil"/>
              <w:bottom w:val="nil"/>
              <w:right w:val="nil"/>
            </w:tcBorders>
            <w:shd w:val="clear" w:color="000000" w:fill="FFFFFF"/>
            <w:noWrap/>
            <w:hideMark/>
          </w:tcPr>
          <w:p w14:paraId="4F0C202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vMerge/>
            <w:tcBorders>
              <w:left w:val="nil"/>
              <w:right w:val="nil"/>
            </w:tcBorders>
            <w:shd w:val="clear" w:color="000000" w:fill="FFFFFF"/>
            <w:noWrap/>
            <w:hideMark/>
          </w:tcPr>
          <w:p w14:paraId="1F39EFE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lang w:eastAsia="es-ES"/>
              </w:rPr>
            </w:pPr>
          </w:p>
        </w:tc>
        <w:tc>
          <w:tcPr>
            <w:tcW w:w="1207" w:type="pct"/>
            <w:tcBorders>
              <w:top w:val="nil"/>
              <w:left w:val="nil"/>
              <w:bottom w:val="nil"/>
              <w:right w:val="nil"/>
            </w:tcBorders>
            <w:shd w:val="clear" w:color="000000" w:fill="FFFFFF"/>
            <w:noWrap/>
            <w:hideMark/>
          </w:tcPr>
          <w:p w14:paraId="0CB631B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↓≥3 (%)</w:t>
            </w:r>
          </w:p>
        </w:tc>
        <w:tc>
          <w:tcPr>
            <w:tcW w:w="411" w:type="pct"/>
            <w:gridSpan w:val="3"/>
            <w:tcBorders>
              <w:top w:val="nil"/>
              <w:left w:val="nil"/>
              <w:bottom w:val="nil"/>
              <w:right w:val="nil"/>
            </w:tcBorders>
            <w:shd w:val="clear" w:color="000000" w:fill="FFFFFF"/>
            <w:noWrap/>
            <w:hideMark/>
          </w:tcPr>
          <w:p w14:paraId="449CF79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54D24C3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22C2D25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63,3</w:t>
            </w:r>
          </w:p>
        </w:tc>
        <w:tc>
          <w:tcPr>
            <w:tcW w:w="576" w:type="pct"/>
            <w:gridSpan w:val="2"/>
            <w:tcBorders>
              <w:top w:val="nil"/>
              <w:left w:val="nil"/>
              <w:bottom w:val="nil"/>
              <w:right w:val="nil"/>
            </w:tcBorders>
            <w:shd w:val="clear" w:color="000000" w:fill="FFFFFF"/>
            <w:noWrap/>
            <w:hideMark/>
          </w:tcPr>
          <w:p w14:paraId="270B3C5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19</w:t>
            </w:r>
            <w:r w:rsidRPr="00367BEC">
              <w:rPr>
                <w:rFonts w:ascii="Times New Roman" w:hAnsi="Times New Roman"/>
                <w:color w:val="000000"/>
                <w:sz w:val="16"/>
              </w:rPr>
              <w:t>/30)</w:t>
            </w:r>
          </w:p>
        </w:tc>
        <w:tc>
          <w:tcPr>
            <w:tcW w:w="509" w:type="pct"/>
            <w:tcBorders>
              <w:top w:val="nil"/>
              <w:left w:val="nil"/>
              <w:bottom w:val="nil"/>
              <w:right w:val="nil"/>
            </w:tcBorders>
            <w:shd w:val="clear" w:color="000000" w:fill="FFFFFF"/>
            <w:noWrap/>
            <w:hideMark/>
          </w:tcPr>
          <w:p w14:paraId="7516204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6CE0513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1EB3DA1" w14:textId="77777777" w:rsidTr="00CF1C1E">
        <w:trPr>
          <w:trHeight w:val="20"/>
        </w:trPr>
        <w:tc>
          <w:tcPr>
            <w:tcW w:w="623" w:type="pct"/>
            <w:tcBorders>
              <w:top w:val="nil"/>
              <w:left w:val="nil"/>
              <w:bottom w:val="single" w:sz="8" w:space="0" w:color="auto"/>
              <w:right w:val="nil"/>
            </w:tcBorders>
            <w:shd w:val="clear" w:color="000000" w:fill="FFFFFF"/>
            <w:noWrap/>
            <w:hideMark/>
          </w:tcPr>
          <w:p w14:paraId="2CFDE54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vMerge/>
            <w:tcBorders>
              <w:left w:val="nil"/>
              <w:bottom w:val="single" w:sz="8" w:space="0" w:color="auto"/>
              <w:right w:val="nil"/>
            </w:tcBorders>
            <w:shd w:val="clear" w:color="000000" w:fill="FFFFFF"/>
            <w:noWrap/>
            <w:hideMark/>
          </w:tcPr>
          <w:p w14:paraId="2352007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lang w:eastAsia="es-ES"/>
              </w:rPr>
            </w:pPr>
          </w:p>
        </w:tc>
        <w:tc>
          <w:tcPr>
            <w:tcW w:w="1207" w:type="pct"/>
            <w:tcBorders>
              <w:top w:val="nil"/>
              <w:left w:val="nil"/>
              <w:bottom w:val="single" w:sz="8" w:space="0" w:color="auto"/>
              <w:right w:val="nil"/>
            </w:tcBorders>
            <w:shd w:val="clear" w:color="000000" w:fill="FFFFFF"/>
            <w:noWrap/>
            <w:hideMark/>
          </w:tcPr>
          <w:p w14:paraId="1BE8414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EVA-11 ↓≥4 (%)</w:t>
            </w:r>
          </w:p>
        </w:tc>
        <w:tc>
          <w:tcPr>
            <w:tcW w:w="411" w:type="pct"/>
            <w:gridSpan w:val="3"/>
            <w:tcBorders>
              <w:top w:val="nil"/>
              <w:left w:val="nil"/>
              <w:bottom w:val="single" w:sz="8" w:space="0" w:color="auto"/>
              <w:right w:val="nil"/>
            </w:tcBorders>
            <w:shd w:val="clear" w:color="000000" w:fill="FFFFFF"/>
            <w:noWrap/>
            <w:hideMark/>
          </w:tcPr>
          <w:p w14:paraId="381DF4A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single" w:sz="8" w:space="0" w:color="auto"/>
              <w:right w:val="nil"/>
            </w:tcBorders>
            <w:shd w:val="clear" w:color="000000" w:fill="FFFFFF"/>
            <w:noWrap/>
            <w:hideMark/>
          </w:tcPr>
          <w:p w14:paraId="7040522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8" w:space="0" w:color="auto"/>
              <w:right w:val="nil"/>
            </w:tcBorders>
            <w:shd w:val="clear" w:color="000000" w:fill="FFFFFF"/>
            <w:noWrap/>
            <w:hideMark/>
          </w:tcPr>
          <w:p w14:paraId="6E9DBDE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20,0</w:t>
            </w:r>
          </w:p>
        </w:tc>
        <w:tc>
          <w:tcPr>
            <w:tcW w:w="576" w:type="pct"/>
            <w:gridSpan w:val="2"/>
            <w:tcBorders>
              <w:top w:val="nil"/>
              <w:left w:val="nil"/>
              <w:bottom w:val="single" w:sz="8" w:space="0" w:color="auto"/>
              <w:right w:val="nil"/>
            </w:tcBorders>
            <w:shd w:val="clear" w:color="000000" w:fill="FFFFFF"/>
            <w:noWrap/>
            <w:hideMark/>
          </w:tcPr>
          <w:p w14:paraId="348AFEE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6</w:t>
            </w:r>
            <w:r w:rsidRPr="00367BEC">
              <w:rPr>
                <w:rFonts w:ascii="Times New Roman" w:hAnsi="Times New Roman"/>
                <w:color w:val="000000"/>
                <w:sz w:val="16"/>
              </w:rPr>
              <w:t>/30)</w:t>
            </w:r>
          </w:p>
        </w:tc>
        <w:tc>
          <w:tcPr>
            <w:tcW w:w="509" w:type="pct"/>
            <w:tcBorders>
              <w:top w:val="nil"/>
              <w:left w:val="nil"/>
              <w:bottom w:val="single" w:sz="8" w:space="0" w:color="auto"/>
              <w:right w:val="nil"/>
            </w:tcBorders>
            <w:shd w:val="clear" w:color="000000" w:fill="FFFFFF"/>
            <w:noWrap/>
            <w:hideMark/>
          </w:tcPr>
          <w:p w14:paraId="53613EA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8" w:space="0" w:color="auto"/>
              <w:right w:val="nil"/>
            </w:tcBorders>
            <w:shd w:val="clear" w:color="000000" w:fill="FFFFFF"/>
            <w:noWrap/>
            <w:hideMark/>
          </w:tcPr>
          <w:p w14:paraId="54AE687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4DAAB8B" w14:textId="77777777" w:rsidTr="00CF1C1E">
        <w:trPr>
          <w:trHeight w:val="20"/>
        </w:trPr>
        <w:tc>
          <w:tcPr>
            <w:tcW w:w="623" w:type="pct"/>
            <w:tcBorders>
              <w:top w:val="nil"/>
              <w:left w:val="nil"/>
              <w:bottom w:val="nil"/>
              <w:right w:val="nil"/>
            </w:tcBorders>
            <w:shd w:val="clear" w:color="000000" w:fill="FFFFFF"/>
            <w:noWrap/>
            <w:hideMark/>
          </w:tcPr>
          <w:p w14:paraId="78A8287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Ueberall</w:t>
            </w:r>
            <w:proofErr w:type="spellEnd"/>
            <w:r w:rsidRPr="00367BEC">
              <w:rPr>
                <w:rFonts w:ascii="Times New Roman" w:hAnsi="Times New Roman"/>
                <w:color w:val="000000"/>
                <w:sz w:val="16"/>
              </w:rPr>
              <w:t xml:space="preserve"> 2016</w:t>
            </w:r>
          </w:p>
        </w:tc>
        <w:tc>
          <w:tcPr>
            <w:tcW w:w="582" w:type="pct"/>
            <w:tcBorders>
              <w:top w:val="nil"/>
              <w:left w:val="nil"/>
              <w:bottom w:val="nil"/>
              <w:right w:val="nil"/>
            </w:tcBorders>
            <w:shd w:val="clear" w:color="000000" w:fill="FFFFFF"/>
            <w:noWrap/>
            <w:hideMark/>
          </w:tcPr>
          <w:p w14:paraId="6626764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207" w:type="pct"/>
            <w:tcBorders>
              <w:top w:val="nil"/>
              <w:left w:val="nil"/>
              <w:bottom w:val="nil"/>
              <w:right w:val="nil"/>
            </w:tcBorders>
            <w:shd w:val="clear" w:color="000000" w:fill="FFFFFF"/>
            <w:noWrap/>
            <w:hideMark/>
          </w:tcPr>
          <w:p w14:paraId="6C93D85B" w14:textId="55A0B3A3"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0A01D6" w:rsidRPr="00367BEC">
              <w:rPr>
                <w:rFonts w:ascii="Times New Roman" w:hAnsi="Times New Roman"/>
                <w:color w:val="000000"/>
                <w:sz w:val="16"/>
              </w:rPr>
              <w:t>100-</w:t>
            </w:r>
            <w:r w:rsidRPr="00367BEC">
              <w:rPr>
                <w:rFonts w:ascii="Times New Roman" w:hAnsi="Times New Roman"/>
                <w:color w:val="000000"/>
                <w:sz w:val="16"/>
              </w:rPr>
              <w:t>7d ≤30 (%)</w:t>
            </w:r>
          </w:p>
        </w:tc>
        <w:tc>
          <w:tcPr>
            <w:tcW w:w="148" w:type="pct"/>
            <w:tcBorders>
              <w:top w:val="nil"/>
              <w:left w:val="nil"/>
              <w:bottom w:val="nil"/>
              <w:right w:val="nil"/>
            </w:tcBorders>
            <w:shd w:val="clear" w:color="000000" w:fill="FFFFFF"/>
            <w:noWrap/>
            <w:hideMark/>
          </w:tcPr>
          <w:p w14:paraId="7EE00A1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0,8</w:t>
            </w:r>
          </w:p>
        </w:tc>
        <w:tc>
          <w:tcPr>
            <w:tcW w:w="513" w:type="pct"/>
            <w:gridSpan w:val="3"/>
            <w:tcBorders>
              <w:top w:val="nil"/>
              <w:left w:val="nil"/>
              <w:bottom w:val="nil"/>
              <w:right w:val="nil"/>
            </w:tcBorders>
            <w:shd w:val="clear" w:color="000000" w:fill="FFFFFF"/>
            <w:noWrap/>
            <w:hideMark/>
          </w:tcPr>
          <w:p w14:paraId="73F068C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(1/133)</w:t>
            </w:r>
            <w:proofErr w:type="spellStart"/>
            <w:r w:rsidRPr="00367BEC">
              <w:rPr>
                <w:rFonts w:ascii="Times New Roman" w:hAnsi="Times New Roman"/>
                <w:b/>
                <w:color w:val="000000"/>
                <w:sz w:val="16"/>
                <w:vertAlign w:val="superscript"/>
              </w:rPr>
              <w:t>n.s.</w:t>
            </w:r>
            <w:proofErr w:type="spellEnd"/>
          </w:p>
        </w:tc>
        <w:tc>
          <w:tcPr>
            <w:tcW w:w="174" w:type="pct"/>
            <w:tcBorders>
              <w:top w:val="nil"/>
              <w:left w:val="nil"/>
              <w:bottom w:val="nil"/>
              <w:right w:val="nil"/>
            </w:tcBorders>
            <w:shd w:val="clear" w:color="000000" w:fill="FFFFFF"/>
            <w:noWrap/>
            <w:hideMark/>
          </w:tcPr>
          <w:p w14:paraId="68F0725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60,9</w:t>
            </w:r>
          </w:p>
        </w:tc>
        <w:tc>
          <w:tcPr>
            <w:tcW w:w="576" w:type="pct"/>
            <w:gridSpan w:val="2"/>
            <w:tcBorders>
              <w:top w:val="nil"/>
              <w:left w:val="nil"/>
              <w:bottom w:val="nil"/>
              <w:right w:val="nil"/>
            </w:tcBorders>
            <w:shd w:val="clear" w:color="000000" w:fill="FFFFFF"/>
            <w:noWrap/>
            <w:hideMark/>
          </w:tcPr>
          <w:p w14:paraId="6B5F113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(81/133)</w:t>
            </w:r>
            <w:r w:rsidRPr="00367BEC">
              <w:rPr>
                <w:rFonts w:ascii="Times New Roman" w:hAnsi="Times New Roman"/>
                <w:b/>
                <w:color w:val="000000"/>
                <w:sz w:val="16"/>
                <w:vertAlign w:val="superscript"/>
              </w:rPr>
              <w:t>I</w:t>
            </w:r>
          </w:p>
        </w:tc>
        <w:tc>
          <w:tcPr>
            <w:tcW w:w="509" w:type="pct"/>
            <w:tcBorders>
              <w:top w:val="nil"/>
              <w:left w:val="nil"/>
              <w:bottom w:val="nil"/>
              <w:right w:val="nil"/>
            </w:tcBorders>
            <w:shd w:val="clear" w:color="000000" w:fill="FFFFFF"/>
            <w:noWrap/>
            <w:hideMark/>
          </w:tcPr>
          <w:p w14:paraId="3923C81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80,0</w:t>
            </w:r>
          </w:p>
        </w:tc>
        <w:tc>
          <w:tcPr>
            <w:tcW w:w="668" w:type="pct"/>
            <w:tcBorders>
              <w:top w:val="nil"/>
              <w:left w:val="nil"/>
              <w:bottom w:val="nil"/>
              <w:right w:val="nil"/>
            </w:tcBorders>
            <w:shd w:val="clear" w:color="000000" w:fill="FFFFFF"/>
            <w:noWrap/>
            <w:hideMark/>
          </w:tcPr>
          <w:p w14:paraId="2CBEF57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60,2</w:t>
            </w:r>
            <w:r w:rsidRPr="00367BEC">
              <w:rPr>
                <w:rFonts w:ascii="Times New Roman" w:hAnsi="Times New Roman"/>
                <w:b/>
                <w:color w:val="000000"/>
                <w:sz w:val="16"/>
                <w:vertAlign w:val="superscript"/>
              </w:rPr>
              <w:t xml:space="preserve">I, </w:t>
            </w:r>
            <w:proofErr w:type="spellStart"/>
            <w:r w:rsidRPr="00367BEC">
              <w:rPr>
                <w:rFonts w:ascii="Times New Roman" w:hAnsi="Times New Roman"/>
                <w:b/>
                <w:color w:val="000000"/>
                <w:sz w:val="16"/>
                <w:vertAlign w:val="superscript"/>
              </w:rPr>
              <w:t>iii</w:t>
            </w:r>
            <w:proofErr w:type="spellEnd"/>
          </w:p>
        </w:tc>
      </w:tr>
      <w:tr w:rsidR="002E4D99" w:rsidRPr="00367BEC" w14:paraId="0A3F55E5" w14:textId="77777777" w:rsidTr="00CF1C1E">
        <w:trPr>
          <w:trHeight w:val="20"/>
        </w:trPr>
        <w:tc>
          <w:tcPr>
            <w:tcW w:w="623" w:type="pct"/>
            <w:tcBorders>
              <w:top w:val="nil"/>
              <w:left w:val="nil"/>
              <w:bottom w:val="nil"/>
              <w:right w:val="nil"/>
            </w:tcBorders>
            <w:shd w:val="clear" w:color="000000" w:fill="FFFFFF"/>
            <w:noWrap/>
            <w:hideMark/>
          </w:tcPr>
          <w:p w14:paraId="43F3D5E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7C60DF2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2B5E6AEF" w14:textId="1118516E"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B201A8" w:rsidRPr="00367BEC">
              <w:rPr>
                <w:rFonts w:ascii="Times New Roman" w:hAnsi="Times New Roman"/>
                <w:color w:val="000000"/>
                <w:sz w:val="16"/>
              </w:rPr>
              <w:t>100-</w:t>
            </w:r>
            <w:r w:rsidRPr="00367BEC">
              <w:rPr>
                <w:rFonts w:ascii="Times New Roman" w:hAnsi="Times New Roman"/>
                <w:color w:val="000000"/>
                <w:sz w:val="16"/>
              </w:rPr>
              <w:t>7d ≤OTP (%)</w:t>
            </w:r>
          </w:p>
        </w:tc>
        <w:tc>
          <w:tcPr>
            <w:tcW w:w="148" w:type="pct"/>
            <w:tcBorders>
              <w:top w:val="nil"/>
              <w:left w:val="nil"/>
              <w:bottom w:val="nil"/>
              <w:right w:val="nil"/>
            </w:tcBorders>
            <w:shd w:val="clear" w:color="000000" w:fill="FFFFFF"/>
            <w:noWrap/>
            <w:hideMark/>
          </w:tcPr>
          <w:p w14:paraId="6039257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13" w:type="pct"/>
            <w:gridSpan w:val="3"/>
            <w:tcBorders>
              <w:top w:val="nil"/>
              <w:left w:val="nil"/>
              <w:bottom w:val="nil"/>
              <w:right w:val="nil"/>
            </w:tcBorders>
            <w:shd w:val="clear" w:color="000000" w:fill="FFFFFF"/>
            <w:noWrap/>
            <w:hideMark/>
          </w:tcPr>
          <w:p w14:paraId="0B5F53D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63206AD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42,9</w:t>
            </w:r>
          </w:p>
        </w:tc>
        <w:tc>
          <w:tcPr>
            <w:tcW w:w="576" w:type="pct"/>
            <w:gridSpan w:val="2"/>
            <w:tcBorders>
              <w:top w:val="nil"/>
              <w:left w:val="nil"/>
              <w:bottom w:val="nil"/>
              <w:right w:val="nil"/>
            </w:tcBorders>
            <w:shd w:val="clear" w:color="000000" w:fill="FFFFFF"/>
            <w:noWrap/>
            <w:hideMark/>
          </w:tcPr>
          <w:p w14:paraId="6DAFD77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(57/133)</w:t>
            </w:r>
            <w:r w:rsidRPr="00367BEC">
              <w:rPr>
                <w:rFonts w:ascii="Times New Roman" w:hAnsi="Times New Roman"/>
                <w:b/>
                <w:color w:val="000000"/>
                <w:sz w:val="16"/>
                <w:vertAlign w:val="superscript"/>
              </w:rPr>
              <w:t>I</w:t>
            </w:r>
          </w:p>
        </w:tc>
        <w:tc>
          <w:tcPr>
            <w:tcW w:w="509" w:type="pct"/>
            <w:tcBorders>
              <w:top w:val="nil"/>
              <w:left w:val="nil"/>
              <w:bottom w:val="nil"/>
              <w:right w:val="nil"/>
            </w:tcBorders>
            <w:shd w:val="clear" w:color="000000" w:fill="FFFFFF"/>
            <w:noWrap/>
            <w:hideMark/>
          </w:tcPr>
          <w:p w14:paraId="0DE9681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4E4A0F7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532724C" w14:textId="77777777" w:rsidTr="00CF1C1E">
        <w:trPr>
          <w:trHeight w:val="20"/>
        </w:trPr>
        <w:tc>
          <w:tcPr>
            <w:tcW w:w="623" w:type="pct"/>
            <w:tcBorders>
              <w:top w:val="nil"/>
              <w:left w:val="nil"/>
              <w:bottom w:val="nil"/>
              <w:right w:val="nil"/>
            </w:tcBorders>
            <w:shd w:val="clear" w:color="000000" w:fill="FFFFFF"/>
            <w:noWrap/>
            <w:hideMark/>
          </w:tcPr>
          <w:p w14:paraId="3ACEDEA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4" w:space="0" w:color="D0CECE" w:themeColor="background2" w:themeShade="E6"/>
              <w:right w:val="nil"/>
            </w:tcBorders>
            <w:shd w:val="clear" w:color="000000" w:fill="FFFFFF"/>
            <w:noWrap/>
            <w:hideMark/>
          </w:tcPr>
          <w:p w14:paraId="2D3F6EF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4" w:space="0" w:color="D0CECE" w:themeColor="background2" w:themeShade="E6"/>
              <w:right w:val="nil"/>
            </w:tcBorders>
            <w:shd w:val="clear" w:color="000000" w:fill="FFFFFF"/>
            <w:noWrap/>
            <w:hideMark/>
          </w:tcPr>
          <w:p w14:paraId="75903D69" w14:textId="6CF89AF0"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B201A8" w:rsidRPr="00367BEC">
              <w:rPr>
                <w:rFonts w:ascii="Times New Roman" w:hAnsi="Times New Roman"/>
                <w:color w:val="000000"/>
                <w:sz w:val="16"/>
              </w:rPr>
              <w:t>100-</w:t>
            </w:r>
            <w:r w:rsidRPr="00367BEC">
              <w:rPr>
                <w:rFonts w:ascii="Times New Roman" w:hAnsi="Times New Roman"/>
                <w:color w:val="000000"/>
                <w:sz w:val="16"/>
              </w:rPr>
              <w:t>7d ↓≥30 % (%)</w:t>
            </w:r>
          </w:p>
        </w:tc>
        <w:tc>
          <w:tcPr>
            <w:tcW w:w="148" w:type="pct"/>
            <w:tcBorders>
              <w:top w:val="nil"/>
              <w:left w:val="nil"/>
              <w:bottom w:val="single" w:sz="4" w:space="0" w:color="D0CECE" w:themeColor="background2" w:themeShade="E6"/>
              <w:right w:val="nil"/>
            </w:tcBorders>
            <w:shd w:val="clear" w:color="000000" w:fill="FFFFFF"/>
            <w:noWrap/>
            <w:hideMark/>
          </w:tcPr>
          <w:p w14:paraId="3990DCE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13" w:type="pct"/>
            <w:gridSpan w:val="3"/>
            <w:tcBorders>
              <w:top w:val="nil"/>
              <w:left w:val="nil"/>
              <w:bottom w:val="single" w:sz="4" w:space="0" w:color="D0CECE" w:themeColor="background2" w:themeShade="E6"/>
              <w:right w:val="nil"/>
            </w:tcBorders>
            <w:shd w:val="clear" w:color="000000" w:fill="FFFFFF"/>
            <w:noWrap/>
            <w:hideMark/>
          </w:tcPr>
          <w:p w14:paraId="057687C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4" w:space="0" w:color="D0CECE" w:themeColor="background2" w:themeShade="E6"/>
              <w:right w:val="nil"/>
            </w:tcBorders>
            <w:shd w:val="clear" w:color="000000" w:fill="FFFFFF"/>
            <w:noWrap/>
            <w:hideMark/>
          </w:tcPr>
          <w:p w14:paraId="2F4356D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83,5</w:t>
            </w:r>
          </w:p>
        </w:tc>
        <w:tc>
          <w:tcPr>
            <w:tcW w:w="576" w:type="pct"/>
            <w:gridSpan w:val="2"/>
            <w:tcBorders>
              <w:top w:val="nil"/>
              <w:left w:val="nil"/>
              <w:bottom w:val="single" w:sz="4" w:space="0" w:color="D0CECE" w:themeColor="background2" w:themeShade="E6"/>
              <w:right w:val="nil"/>
            </w:tcBorders>
            <w:shd w:val="clear" w:color="000000" w:fill="FFFFFF"/>
            <w:noWrap/>
            <w:hideMark/>
          </w:tcPr>
          <w:p w14:paraId="4567AB3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(111/133)</w:t>
            </w:r>
            <w:proofErr w:type="spellStart"/>
            <w:r w:rsidRPr="00367BEC">
              <w:rPr>
                <w:rFonts w:ascii="Times New Roman" w:hAnsi="Times New Roman"/>
                <w:b/>
                <w:color w:val="000000"/>
                <w:sz w:val="16"/>
                <w:vertAlign w:val="superscript"/>
              </w:rPr>
              <w:t>n.s.</w:t>
            </w:r>
            <w:proofErr w:type="spellEnd"/>
          </w:p>
        </w:tc>
        <w:tc>
          <w:tcPr>
            <w:tcW w:w="509" w:type="pct"/>
            <w:tcBorders>
              <w:top w:val="nil"/>
              <w:left w:val="nil"/>
              <w:bottom w:val="single" w:sz="4" w:space="0" w:color="D0CECE" w:themeColor="background2" w:themeShade="E6"/>
              <w:right w:val="nil"/>
            </w:tcBorders>
            <w:shd w:val="clear" w:color="000000" w:fill="FFFFFF"/>
            <w:noWrap/>
            <w:hideMark/>
          </w:tcPr>
          <w:p w14:paraId="351FEB1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4" w:space="0" w:color="D0CECE" w:themeColor="background2" w:themeShade="E6"/>
              <w:right w:val="nil"/>
            </w:tcBorders>
            <w:shd w:val="clear" w:color="000000" w:fill="FFFFFF"/>
            <w:noWrap/>
            <w:hideMark/>
          </w:tcPr>
          <w:p w14:paraId="2489CAB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B427D0B" w14:textId="77777777" w:rsidTr="00CF1C1E">
        <w:trPr>
          <w:trHeight w:val="20"/>
        </w:trPr>
        <w:tc>
          <w:tcPr>
            <w:tcW w:w="623" w:type="pct"/>
            <w:tcBorders>
              <w:top w:val="nil"/>
              <w:left w:val="nil"/>
              <w:bottom w:val="nil"/>
              <w:right w:val="nil"/>
            </w:tcBorders>
            <w:shd w:val="clear" w:color="000000" w:fill="FFFFFF"/>
            <w:noWrap/>
            <w:hideMark/>
          </w:tcPr>
          <w:p w14:paraId="0B57A0B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single" w:sz="4" w:space="0" w:color="D0CECE" w:themeColor="background2" w:themeShade="E6"/>
              <w:left w:val="nil"/>
              <w:bottom w:val="nil"/>
              <w:right w:val="nil"/>
            </w:tcBorders>
            <w:shd w:val="clear" w:color="000000" w:fill="FFFFFF"/>
            <w:noWrap/>
            <w:hideMark/>
          </w:tcPr>
          <w:p w14:paraId="3BBD041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OXN</w:t>
            </w:r>
          </w:p>
        </w:tc>
        <w:tc>
          <w:tcPr>
            <w:tcW w:w="1207" w:type="pct"/>
            <w:tcBorders>
              <w:top w:val="single" w:sz="4" w:space="0" w:color="D0CECE" w:themeColor="background2" w:themeShade="E6"/>
              <w:left w:val="nil"/>
              <w:bottom w:val="nil"/>
              <w:right w:val="nil"/>
            </w:tcBorders>
            <w:shd w:val="clear" w:color="000000" w:fill="FFFFFF"/>
            <w:noWrap/>
            <w:hideMark/>
          </w:tcPr>
          <w:p w14:paraId="5D52B301" w14:textId="185CC8F3"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B201A8" w:rsidRPr="00367BEC">
              <w:rPr>
                <w:rFonts w:ascii="Times New Roman" w:hAnsi="Times New Roman"/>
                <w:color w:val="000000"/>
                <w:sz w:val="16"/>
              </w:rPr>
              <w:t>100-</w:t>
            </w:r>
            <w:r w:rsidRPr="00367BEC">
              <w:rPr>
                <w:rFonts w:ascii="Times New Roman" w:hAnsi="Times New Roman"/>
                <w:color w:val="000000"/>
                <w:sz w:val="16"/>
              </w:rPr>
              <w:t>7d ≤30 (%)</w:t>
            </w:r>
          </w:p>
        </w:tc>
        <w:tc>
          <w:tcPr>
            <w:tcW w:w="148" w:type="pct"/>
            <w:tcBorders>
              <w:top w:val="single" w:sz="4" w:space="0" w:color="D0CECE" w:themeColor="background2" w:themeShade="E6"/>
              <w:left w:val="nil"/>
              <w:bottom w:val="nil"/>
              <w:right w:val="nil"/>
            </w:tcBorders>
            <w:shd w:val="clear" w:color="000000" w:fill="FFFFFF"/>
            <w:noWrap/>
            <w:hideMark/>
          </w:tcPr>
          <w:p w14:paraId="48AA269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0,8</w:t>
            </w:r>
          </w:p>
        </w:tc>
        <w:tc>
          <w:tcPr>
            <w:tcW w:w="513" w:type="pct"/>
            <w:gridSpan w:val="3"/>
            <w:tcBorders>
              <w:top w:val="single" w:sz="4" w:space="0" w:color="D0CECE" w:themeColor="background2" w:themeShade="E6"/>
              <w:left w:val="nil"/>
              <w:bottom w:val="nil"/>
              <w:right w:val="nil"/>
            </w:tcBorders>
            <w:shd w:val="clear" w:color="000000" w:fill="FFFFFF"/>
            <w:noWrap/>
            <w:hideMark/>
          </w:tcPr>
          <w:p w14:paraId="4297916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(1/128)</w:t>
            </w:r>
          </w:p>
        </w:tc>
        <w:tc>
          <w:tcPr>
            <w:tcW w:w="174" w:type="pct"/>
            <w:tcBorders>
              <w:top w:val="single" w:sz="4" w:space="0" w:color="D0CECE" w:themeColor="background2" w:themeShade="E6"/>
              <w:left w:val="nil"/>
              <w:bottom w:val="nil"/>
              <w:right w:val="nil"/>
            </w:tcBorders>
            <w:shd w:val="clear" w:color="000000" w:fill="FFFFFF"/>
            <w:noWrap/>
            <w:hideMark/>
          </w:tcPr>
          <w:p w14:paraId="4BB0E8E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72,7</w:t>
            </w:r>
          </w:p>
        </w:tc>
        <w:tc>
          <w:tcPr>
            <w:tcW w:w="576" w:type="pct"/>
            <w:gridSpan w:val="2"/>
            <w:tcBorders>
              <w:top w:val="single" w:sz="4" w:space="0" w:color="D0CECE" w:themeColor="background2" w:themeShade="E6"/>
              <w:left w:val="nil"/>
              <w:bottom w:val="nil"/>
              <w:right w:val="nil"/>
            </w:tcBorders>
            <w:shd w:val="clear" w:color="000000" w:fill="FFFFFF"/>
            <w:noWrap/>
            <w:hideMark/>
          </w:tcPr>
          <w:p w14:paraId="5CE3449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(93/128)</w:t>
            </w:r>
          </w:p>
        </w:tc>
        <w:tc>
          <w:tcPr>
            <w:tcW w:w="509" w:type="pct"/>
            <w:tcBorders>
              <w:top w:val="single" w:sz="4" w:space="0" w:color="D0CECE" w:themeColor="background2" w:themeShade="E6"/>
              <w:left w:val="nil"/>
              <w:bottom w:val="nil"/>
              <w:right w:val="nil"/>
            </w:tcBorders>
            <w:shd w:val="clear" w:color="000000" w:fill="FFFFFF"/>
            <w:noWrap/>
            <w:hideMark/>
          </w:tcPr>
          <w:p w14:paraId="15CA9BC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92,0</w:t>
            </w:r>
          </w:p>
        </w:tc>
        <w:tc>
          <w:tcPr>
            <w:tcW w:w="668" w:type="pct"/>
            <w:tcBorders>
              <w:top w:val="single" w:sz="4" w:space="0" w:color="D0CECE" w:themeColor="background2" w:themeShade="E6"/>
              <w:left w:val="nil"/>
              <w:bottom w:val="nil"/>
              <w:right w:val="nil"/>
            </w:tcBorders>
            <w:shd w:val="clear" w:color="000000" w:fill="FFFFFF"/>
            <w:noWrap/>
            <w:hideMark/>
          </w:tcPr>
          <w:p w14:paraId="18C651F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71,9</w:t>
            </w:r>
            <w:r w:rsidRPr="00367BEC">
              <w:rPr>
                <w:rFonts w:ascii="Times New Roman" w:hAnsi="Times New Roman"/>
                <w:b/>
                <w:color w:val="000000"/>
                <w:sz w:val="16"/>
                <w:vertAlign w:val="superscript"/>
              </w:rPr>
              <w:t>iii</w:t>
            </w:r>
          </w:p>
        </w:tc>
      </w:tr>
      <w:tr w:rsidR="002E4D99" w:rsidRPr="00367BEC" w14:paraId="7886C6DF" w14:textId="77777777" w:rsidTr="00CF1C1E">
        <w:trPr>
          <w:trHeight w:val="20"/>
        </w:trPr>
        <w:tc>
          <w:tcPr>
            <w:tcW w:w="623" w:type="pct"/>
            <w:tcBorders>
              <w:top w:val="nil"/>
              <w:left w:val="nil"/>
              <w:bottom w:val="nil"/>
              <w:right w:val="nil"/>
            </w:tcBorders>
            <w:shd w:val="clear" w:color="000000" w:fill="FFFFFF"/>
            <w:noWrap/>
            <w:hideMark/>
          </w:tcPr>
          <w:p w14:paraId="10C3D77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442D496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18666444" w14:textId="3A95CB26"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B201A8" w:rsidRPr="00367BEC">
              <w:rPr>
                <w:rFonts w:ascii="Times New Roman" w:hAnsi="Times New Roman"/>
                <w:color w:val="000000"/>
                <w:sz w:val="16"/>
              </w:rPr>
              <w:t>100-</w:t>
            </w:r>
            <w:r w:rsidRPr="00367BEC">
              <w:rPr>
                <w:rFonts w:ascii="Times New Roman" w:hAnsi="Times New Roman"/>
                <w:color w:val="000000"/>
                <w:sz w:val="16"/>
              </w:rPr>
              <w:t>7d ≤OTP (%)</w:t>
            </w:r>
          </w:p>
        </w:tc>
        <w:tc>
          <w:tcPr>
            <w:tcW w:w="148" w:type="pct"/>
            <w:tcBorders>
              <w:top w:val="nil"/>
              <w:left w:val="nil"/>
              <w:bottom w:val="nil"/>
              <w:right w:val="nil"/>
            </w:tcBorders>
            <w:shd w:val="clear" w:color="000000" w:fill="FFFFFF"/>
            <w:noWrap/>
            <w:hideMark/>
          </w:tcPr>
          <w:p w14:paraId="2B2148B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13" w:type="pct"/>
            <w:gridSpan w:val="3"/>
            <w:tcBorders>
              <w:top w:val="nil"/>
              <w:left w:val="nil"/>
              <w:bottom w:val="nil"/>
              <w:right w:val="nil"/>
            </w:tcBorders>
            <w:shd w:val="clear" w:color="000000" w:fill="FFFFFF"/>
            <w:noWrap/>
            <w:hideMark/>
          </w:tcPr>
          <w:p w14:paraId="36F051C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3C7F08D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58,6</w:t>
            </w:r>
          </w:p>
        </w:tc>
        <w:tc>
          <w:tcPr>
            <w:tcW w:w="576" w:type="pct"/>
            <w:gridSpan w:val="2"/>
            <w:tcBorders>
              <w:top w:val="nil"/>
              <w:left w:val="nil"/>
              <w:bottom w:val="nil"/>
              <w:right w:val="nil"/>
            </w:tcBorders>
            <w:shd w:val="clear" w:color="000000" w:fill="FFFFFF"/>
            <w:noWrap/>
            <w:hideMark/>
          </w:tcPr>
          <w:p w14:paraId="7082814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(75/128)</w:t>
            </w:r>
          </w:p>
        </w:tc>
        <w:tc>
          <w:tcPr>
            <w:tcW w:w="509" w:type="pct"/>
            <w:tcBorders>
              <w:top w:val="nil"/>
              <w:left w:val="nil"/>
              <w:bottom w:val="nil"/>
              <w:right w:val="nil"/>
            </w:tcBorders>
            <w:shd w:val="clear" w:color="000000" w:fill="FFFFFF"/>
            <w:noWrap/>
            <w:hideMark/>
          </w:tcPr>
          <w:p w14:paraId="59A79AC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0DEA81E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1E3A7E82" w14:textId="77777777" w:rsidTr="00CF1C1E">
        <w:trPr>
          <w:trHeight w:val="20"/>
        </w:trPr>
        <w:tc>
          <w:tcPr>
            <w:tcW w:w="623" w:type="pct"/>
            <w:tcBorders>
              <w:top w:val="nil"/>
              <w:left w:val="nil"/>
              <w:bottom w:val="nil"/>
              <w:right w:val="nil"/>
            </w:tcBorders>
            <w:shd w:val="clear" w:color="000000" w:fill="FFFFFF"/>
            <w:noWrap/>
            <w:hideMark/>
          </w:tcPr>
          <w:p w14:paraId="6588432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37864AC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35EE7813" w14:textId="1F9F457A"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IILUM EVA-</w:t>
            </w:r>
            <w:r w:rsidR="00B201A8" w:rsidRPr="00367BEC">
              <w:rPr>
                <w:rFonts w:ascii="Times New Roman" w:hAnsi="Times New Roman"/>
                <w:color w:val="000000"/>
                <w:sz w:val="16"/>
              </w:rPr>
              <w:t>100-</w:t>
            </w:r>
            <w:r w:rsidRPr="00367BEC">
              <w:rPr>
                <w:rFonts w:ascii="Times New Roman" w:hAnsi="Times New Roman"/>
                <w:color w:val="000000"/>
                <w:sz w:val="16"/>
              </w:rPr>
              <w:t>7d ↓≥30 % (%)</w:t>
            </w:r>
          </w:p>
        </w:tc>
        <w:tc>
          <w:tcPr>
            <w:tcW w:w="148" w:type="pct"/>
            <w:tcBorders>
              <w:top w:val="nil"/>
              <w:left w:val="nil"/>
              <w:bottom w:val="nil"/>
              <w:right w:val="nil"/>
            </w:tcBorders>
            <w:shd w:val="clear" w:color="000000" w:fill="FFFFFF"/>
            <w:noWrap/>
            <w:hideMark/>
          </w:tcPr>
          <w:p w14:paraId="18813FF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13" w:type="pct"/>
            <w:gridSpan w:val="3"/>
            <w:tcBorders>
              <w:top w:val="nil"/>
              <w:left w:val="nil"/>
              <w:bottom w:val="nil"/>
              <w:right w:val="nil"/>
            </w:tcBorders>
            <w:shd w:val="clear" w:color="000000" w:fill="FFFFFF"/>
            <w:noWrap/>
            <w:hideMark/>
          </w:tcPr>
          <w:p w14:paraId="317F3F5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79ACF1C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85,2</w:t>
            </w:r>
          </w:p>
        </w:tc>
        <w:tc>
          <w:tcPr>
            <w:tcW w:w="576" w:type="pct"/>
            <w:gridSpan w:val="2"/>
            <w:tcBorders>
              <w:top w:val="nil"/>
              <w:left w:val="nil"/>
              <w:bottom w:val="nil"/>
              <w:right w:val="nil"/>
            </w:tcBorders>
            <w:shd w:val="clear" w:color="000000" w:fill="FFFFFF"/>
            <w:noWrap/>
            <w:hideMark/>
          </w:tcPr>
          <w:p w14:paraId="7AC5041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(109/128)</w:t>
            </w:r>
          </w:p>
        </w:tc>
        <w:tc>
          <w:tcPr>
            <w:tcW w:w="509" w:type="pct"/>
            <w:tcBorders>
              <w:top w:val="nil"/>
              <w:left w:val="nil"/>
              <w:bottom w:val="nil"/>
              <w:right w:val="nil"/>
            </w:tcBorders>
            <w:shd w:val="clear" w:color="000000" w:fill="FFFFFF"/>
            <w:noWrap/>
            <w:hideMark/>
          </w:tcPr>
          <w:p w14:paraId="733BA0A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51900C7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AC4ABB2" w14:textId="77777777" w:rsidTr="00CF1C1E">
        <w:trPr>
          <w:trHeight w:val="20"/>
        </w:trPr>
        <w:tc>
          <w:tcPr>
            <w:tcW w:w="623" w:type="pct"/>
            <w:tcBorders>
              <w:top w:val="single" w:sz="8" w:space="0" w:color="auto"/>
              <w:left w:val="nil"/>
              <w:bottom w:val="nil"/>
              <w:right w:val="nil"/>
            </w:tcBorders>
            <w:shd w:val="clear" w:color="000000" w:fill="FFFFFF"/>
            <w:noWrap/>
            <w:hideMark/>
          </w:tcPr>
          <w:p w14:paraId="4513F5D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Strick</w:t>
            </w:r>
            <w:proofErr w:type="spellEnd"/>
            <w:r w:rsidRPr="00367BEC">
              <w:rPr>
                <w:rFonts w:ascii="Times New Roman" w:hAnsi="Times New Roman"/>
                <w:color w:val="000000"/>
                <w:sz w:val="16"/>
              </w:rPr>
              <w:t xml:space="preserve"> 2014</w:t>
            </w:r>
          </w:p>
        </w:tc>
        <w:tc>
          <w:tcPr>
            <w:tcW w:w="582" w:type="pct"/>
            <w:tcBorders>
              <w:top w:val="single" w:sz="8" w:space="0" w:color="auto"/>
              <w:left w:val="nil"/>
              <w:bottom w:val="nil"/>
              <w:right w:val="nil"/>
            </w:tcBorders>
            <w:shd w:val="clear" w:color="000000" w:fill="FFFFFF"/>
            <w:noWrap/>
            <w:hideMark/>
          </w:tcPr>
          <w:p w14:paraId="29CA8D2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 PR (3 m)</w:t>
            </w:r>
          </w:p>
        </w:tc>
        <w:tc>
          <w:tcPr>
            <w:tcW w:w="1207" w:type="pct"/>
            <w:tcBorders>
              <w:top w:val="single" w:sz="8" w:space="0" w:color="auto"/>
              <w:left w:val="nil"/>
              <w:bottom w:val="nil"/>
              <w:right w:val="nil"/>
            </w:tcBorders>
            <w:shd w:val="clear" w:color="000000" w:fill="FFFFFF"/>
            <w:noWrap/>
            <w:hideMark/>
          </w:tcPr>
          <w:p w14:paraId="5A94C69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↓≥50 % (%)</w:t>
            </w:r>
          </w:p>
        </w:tc>
        <w:tc>
          <w:tcPr>
            <w:tcW w:w="411" w:type="pct"/>
            <w:gridSpan w:val="3"/>
            <w:tcBorders>
              <w:top w:val="single" w:sz="8" w:space="0" w:color="auto"/>
              <w:left w:val="nil"/>
              <w:bottom w:val="nil"/>
              <w:right w:val="nil"/>
            </w:tcBorders>
            <w:shd w:val="clear" w:color="000000" w:fill="FFFFFF"/>
            <w:noWrap/>
            <w:hideMark/>
          </w:tcPr>
          <w:p w14:paraId="1892562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single" w:sz="8" w:space="0" w:color="auto"/>
              <w:left w:val="nil"/>
              <w:bottom w:val="nil"/>
              <w:right w:val="nil"/>
            </w:tcBorders>
            <w:shd w:val="clear" w:color="000000" w:fill="FFFFFF"/>
            <w:noWrap/>
            <w:hideMark/>
          </w:tcPr>
          <w:p w14:paraId="4100203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single" w:sz="8" w:space="0" w:color="auto"/>
              <w:left w:val="nil"/>
              <w:bottom w:val="nil"/>
              <w:right w:val="nil"/>
            </w:tcBorders>
            <w:shd w:val="clear" w:color="000000" w:fill="FFFFFF"/>
            <w:noWrap/>
            <w:hideMark/>
          </w:tcPr>
          <w:p w14:paraId="3CDF9B3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38,1</w:t>
            </w:r>
          </w:p>
        </w:tc>
        <w:tc>
          <w:tcPr>
            <w:tcW w:w="576" w:type="pct"/>
            <w:gridSpan w:val="2"/>
            <w:tcBorders>
              <w:top w:val="single" w:sz="8" w:space="0" w:color="auto"/>
              <w:left w:val="nil"/>
              <w:bottom w:val="nil"/>
              <w:right w:val="nil"/>
            </w:tcBorders>
            <w:shd w:val="clear" w:color="000000" w:fill="FFFFFF"/>
            <w:noWrap/>
            <w:hideMark/>
          </w:tcPr>
          <w:p w14:paraId="6953702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515</w:t>
            </w:r>
            <w:r w:rsidRPr="00367BEC">
              <w:rPr>
                <w:rFonts w:ascii="Times New Roman" w:hAnsi="Times New Roman"/>
                <w:color w:val="000000"/>
                <w:sz w:val="16"/>
              </w:rPr>
              <w:t>/1351)</w:t>
            </w:r>
          </w:p>
        </w:tc>
        <w:tc>
          <w:tcPr>
            <w:tcW w:w="509" w:type="pct"/>
            <w:tcBorders>
              <w:top w:val="single" w:sz="8" w:space="0" w:color="auto"/>
              <w:left w:val="nil"/>
              <w:bottom w:val="nil"/>
              <w:right w:val="nil"/>
            </w:tcBorders>
            <w:shd w:val="clear" w:color="000000" w:fill="FFFFFF"/>
            <w:noWrap/>
            <w:hideMark/>
          </w:tcPr>
          <w:p w14:paraId="4101EE0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single" w:sz="8" w:space="0" w:color="auto"/>
              <w:left w:val="nil"/>
              <w:bottom w:val="nil"/>
              <w:right w:val="nil"/>
            </w:tcBorders>
            <w:shd w:val="clear" w:color="000000" w:fill="FFFFFF"/>
            <w:noWrap/>
            <w:hideMark/>
          </w:tcPr>
          <w:p w14:paraId="0215009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4526F98" w14:textId="77777777" w:rsidTr="00CF1C1E">
        <w:trPr>
          <w:trHeight w:val="20"/>
        </w:trPr>
        <w:tc>
          <w:tcPr>
            <w:tcW w:w="623" w:type="pct"/>
            <w:tcBorders>
              <w:top w:val="nil"/>
              <w:left w:val="nil"/>
              <w:bottom w:val="nil"/>
              <w:right w:val="nil"/>
            </w:tcBorders>
            <w:shd w:val="clear" w:color="000000" w:fill="FFFFFF"/>
            <w:noWrap/>
            <w:hideMark/>
          </w:tcPr>
          <w:p w14:paraId="65FBBBC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4" w:space="0" w:color="D0CECE" w:themeColor="background2" w:themeShade="E6"/>
              <w:right w:val="nil"/>
            </w:tcBorders>
            <w:shd w:val="clear" w:color="000000" w:fill="FFFFFF"/>
            <w:noWrap/>
            <w:hideMark/>
          </w:tcPr>
          <w:p w14:paraId="055EE83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4" w:space="0" w:color="D0CECE" w:themeColor="background2" w:themeShade="E6"/>
              <w:right w:val="nil"/>
            </w:tcBorders>
            <w:shd w:val="clear" w:color="000000" w:fill="FFFFFF"/>
            <w:noWrap/>
            <w:hideMark/>
          </w:tcPr>
          <w:p w14:paraId="24FEEDD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≤OTP (3,0±1,3) (%)</w:t>
            </w:r>
          </w:p>
        </w:tc>
        <w:tc>
          <w:tcPr>
            <w:tcW w:w="411" w:type="pct"/>
            <w:gridSpan w:val="3"/>
            <w:tcBorders>
              <w:top w:val="nil"/>
              <w:left w:val="nil"/>
              <w:bottom w:val="single" w:sz="4" w:space="0" w:color="D0CECE" w:themeColor="background2" w:themeShade="E6"/>
              <w:right w:val="nil"/>
            </w:tcBorders>
            <w:shd w:val="clear" w:color="000000" w:fill="FFFFFF"/>
            <w:noWrap/>
            <w:hideMark/>
          </w:tcPr>
          <w:p w14:paraId="62F7B1A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single" w:sz="4" w:space="0" w:color="D0CECE" w:themeColor="background2" w:themeShade="E6"/>
              <w:right w:val="nil"/>
            </w:tcBorders>
            <w:shd w:val="clear" w:color="000000" w:fill="FFFFFF"/>
            <w:noWrap/>
            <w:hideMark/>
          </w:tcPr>
          <w:p w14:paraId="5367AF0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4" w:space="0" w:color="D0CECE" w:themeColor="background2" w:themeShade="E6"/>
              <w:right w:val="nil"/>
            </w:tcBorders>
            <w:shd w:val="clear" w:color="000000" w:fill="FFFFFF"/>
            <w:noWrap/>
            <w:hideMark/>
          </w:tcPr>
          <w:p w14:paraId="4BB3A64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38,3</w:t>
            </w:r>
          </w:p>
        </w:tc>
        <w:tc>
          <w:tcPr>
            <w:tcW w:w="576" w:type="pct"/>
            <w:gridSpan w:val="2"/>
            <w:tcBorders>
              <w:top w:val="nil"/>
              <w:left w:val="nil"/>
              <w:bottom w:val="single" w:sz="4" w:space="0" w:color="D0CECE" w:themeColor="background2" w:themeShade="E6"/>
              <w:right w:val="nil"/>
            </w:tcBorders>
            <w:shd w:val="clear" w:color="000000" w:fill="FFFFFF"/>
            <w:noWrap/>
            <w:hideMark/>
          </w:tcPr>
          <w:p w14:paraId="45FF6EE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517</w:t>
            </w:r>
            <w:r w:rsidRPr="00367BEC">
              <w:rPr>
                <w:rFonts w:ascii="Times New Roman" w:hAnsi="Times New Roman"/>
                <w:color w:val="000000"/>
                <w:sz w:val="16"/>
              </w:rPr>
              <w:t>/1351)</w:t>
            </w:r>
          </w:p>
        </w:tc>
        <w:tc>
          <w:tcPr>
            <w:tcW w:w="509" w:type="pct"/>
            <w:tcBorders>
              <w:top w:val="nil"/>
              <w:left w:val="nil"/>
              <w:bottom w:val="single" w:sz="4" w:space="0" w:color="D0CECE" w:themeColor="background2" w:themeShade="E6"/>
              <w:right w:val="nil"/>
            </w:tcBorders>
            <w:shd w:val="clear" w:color="000000" w:fill="FFFFFF"/>
            <w:noWrap/>
            <w:hideMark/>
          </w:tcPr>
          <w:p w14:paraId="734E5DB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4" w:space="0" w:color="D0CECE" w:themeColor="background2" w:themeShade="E6"/>
              <w:right w:val="nil"/>
            </w:tcBorders>
            <w:shd w:val="clear" w:color="000000" w:fill="FFFFFF"/>
            <w:noWrap/>
            <w:hideMark/>
          </w:tcPr>
          <w:p w14:paraId="206E58D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9A2DC72" w14:textId="77777777" w:rsidTr="00CF1C1E">
        <w:trPr>
          <w:trHeight w:val="20"/>
        </w:trPr>
        <w:tc>
          <w:tcPr>
            <w:tcW w:w="623" w:type="pct"/>
            <w:tcBorders>
              <w:top w:val="nil"/>
              <w:left w:val="nil"/>
              <w:bottom w:val="nil"/>
              <w:right w:val="nil"/>
            </w:tcBorders>
            <w:shd w:val="clear" w:color="000000" w:fill="FFFFFF"/>
            <w:noWrap/>
            <w:hideMark/>
          </w:tcPr>
          <w:p w14:paraId="298FE50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single" w:sz="4" w:space="0" w:color="D0CECE" w:themeColor="background2" w:themeShade="E6"/>
              <w:left w:val="nil"/>
              <w:bottom w:val="nil"/>
              <w:right w:val="nil"/>
            </w:tcBorders>
            <w:shd w:val="clear" w:color="000000" w:fill="FFFFFF"/>
            <w:noWrap/>
            <w:hideMark/>
          </w:tcPr>
          <w:p w14:paraId="1050EF1E" w14:textId="0B05383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 PR (12</w:t>
            </w:r>
            <w:r w:rsidR="000D16A0">
              <w:rPr>
                <w:rFonts w:ascii="Times New Roman" w:hAnsi="Times New Roman"/>
                <w:color w:val="000000"/>
                <w:sz w:val="16"/>
              </w:rPr>
              <w:t xml:space="preserve"> </w:t>
            </w:r>
            <w:r w:rsidRPr="00367BEC">
              <w:rPr>
                <w:rFonts w:ascii="Times New Roman" w:hAnsi="Times New Roman"/>
                <w:color w:val="000000"/>
                <w:sz w:val="16"/>
              </w:rPr>
              <w:t>m)</w:t>
            </w:r>
          </w:p>
        </w:tc>
        <w:tc>
          <w:tcPr>
            <w:tcW w:w="1207" w:type="pct"/>
            <w:tcBorders>
              <w:top w:val="single" w:sz="4" w:space="0" w:color="D0CECE" w:themeColor="background2" w:themeShade="E6"/>
              <w:left w:val="nil"/>
              <w:bottom w:val="nil"/>
              <w:right w:val="nil"/>
            </w:tcBorders>
            <w:shd w:val="clear" w:color="000000" w:fill="FFFFFF"/>
            <w:noWrap/>
            <w:hideMark/>
          </w:tcPr>
          <w:p w14:paraId="0BF21BA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↓≥50 % (%)</w:t>
            </w:r>
          </w:p>
        </w:tc>
        <w:tc>
          <w:tcPr>
            <w:tcW w:w="411" w:type="pct"/>
            <w:gridSpan w:val="3"/>
            <w:tcBorders>
              <w:top w:val="single" w:sz="4" w:space="0" w:color="D0CECE" w:themeColor="background2" w:themeShade="E6"/>
              <w:left w:val="nil"/>
              <w:bottom w:val="nil"/>
              <w:right w:val="nil"/>
            </w:tcBorders>
            <w:shd w:val="clear" w:color="000000" w:fill="FFFFFF"/>
            <w:noWrap/>
            <w:hideMark/>
          </w:tcPr>
          <w:p w14:paraId="621ABF2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single" w:sz="4" w:space="0" w:color="D0CECE" w:themeColor="background2" w:themeShade="E6"/>
              <w:left w:val="nil"/>
              <w:bottom w:val="nil"/>
              <w:right w:val="nil"/>
            </w:tcBorders>
            <w:shd w:val="clear" w:color="000000" w:fill="FFFFFF"/>
            <w:noWrap/>
            <w:hideMark/>
          </w:tcPr>
          <w:p w14:paraId="37237EC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single" w:sz="4" w:space="0" w:color="D0CECE" w:themeColor="background2" w:themeShade="E6"/>
              <w:left w:val="nil"/>
              <w:bottom w:val="nil"/>
              <w:right w:val="nil"/>
            </w:tcBorders>
            <w:shd w:val="clear" w:color="000000" w:fill="FFFFFF"/>
            <w:noWrap/>
            <w:hideMark/>
          </w:tcPr>
          <w:p w14:paraId="67C362B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56,5</w:t>
            </w:r>
          </w:p>
        </w:tc>
        <w:tc>
          <w:tcPr>
            <w:tcW w:w="576" w:type="pct"/>
            <w:gridSpan w:val="2"/>
            <w:tcBorders>
              <w:top w:val="single" w:sz="4" w:space="0" w:color="D0CECE" w:themeColor="background2" w:themeShade="E6"/>
              <w:left w:val="nil"/>
              <w:bottom w:val="nil"/>
              <w:right w:val="nil"/>
            </w:tcBorders>
            <w:shd w:val="clear" w:color="000000" w:fill="FFFFFF"/>
            <w:noWrap/>
            <w:hideMark/>
          </w:tcPr>
          <w:p w14:paraId="4DAE2EA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319</w:t>
            </w:r>
            <w:r w:rsidRPr="00367BEC">
              <w:rPr>
                <w:rFonts w:ascii="Times New Roman" w:hAnsi="Times New Roman"/>
                <w:color w:val="000000"/>
                <w:sz w:val="16"/>
              </w:rPr>
              <w:t>/565)</w:t>
            </w:r>
          </w:p>
        </w:tc>
        <w:tc>
          <w:tcPr>
            <w:tcW w:w="509" w:type="pct"/>
            <w:tcBorders>
              <w:top w:val="single" w:sz="4" w:space="0" w:color="D0CECE" w:themeColor="background2" w:themeShade="E6"/>
              <w:left w:val="nil"/>
              <w:bottom w:val="nil"/>
              <w:right w:val="nil"/>
            </w:tcBorders>
            <w:shd w:val="clear" w:color="000000" w:fill="FFFFFF"/>
            <w:noWrap/>
            <w:hideMark/>
          </w:tcPr>
          <w:p w14:paraId="2E410E1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single" w:sz="4" w:space="0" w:color="D0CECE" w:themeColor="background2" w:themeShade="E6"/>
              <w:left w:val="nil"/>
              <w:bottom w:val="nil"/>
              <w:right w:val="nil"/>
            </w:tcBorders>
            <w:shd w:val="clear" w:color="000000" w:fill="FFFFFF"/>
            <w:noWrap/>
            <w:hideMark/>
          </w:tcPr>
          <w:p w14:paraId="10C67C7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C08391E" w14:textId="77777777" w:rsidTr="00CF1C1E">
        <w:trPr>
          <w:trHeight w:val="20"/>
        </w:trPr>
        <w:tc>
          <w:tcPr>
            <w:tcW w:w="623" w:type="pct"/>
            <w:tcBorders>
              <w:top w:val="nil"/>
              <w:left w:val="nil"/>
              <w:bottom w:val="single" w:sz="8" w:space="0" w:color="auto"/>
              <w:right w:val="nil"/>
            </w:tcBorders>
            <w:shd w:val="clear" w:color="000000" w:fill="FFFFFF"/>
            <w:noWrap/>
            <w:hideMark/>
          </w:tcPr>
          <w:p w14:paraId="67EFBFC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8" w:space="0" w:color="auto"/>
              <w:right w:val="nil"/>
            </w:tcBorders>
            <w:shd w:val="clear" w:color="000000" w:fill="FFFFFF"/>
            <w:noWrap/>
            <w:hideMark/>
          </w:tcPr>
          <w:p w14:paraId="739C2DB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8" w:space="0" w:color="auto"/>
              <w:right w:val="nil"/>
            </w:tcBorders>
            <w:shd w:val="clear" w:color="000000" w:fill="FFFFFF"/>
            <w:noWrap/>
            <w:hideMark/>
          </w:tcPr>
          <w:p w14:paraId="4993E20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≤OTP (2,9±1,2) (%)</w:t>
            </w:r>
          </w:p>
        </w:tc>
        <w:tc>
          <w:tcPr>
            <w:tcW w:w="411" w:type="pct"/>
            <w:gridSpan w:val="3"/>
            <w:tcBorders>
              <w:top w:val="nil"/>
              <w:left w:val="nil"/>
              <w:bottom w:val="single" w:sz="8" w:space="0" w:color="auto"/>
              <w:right w:val="nil"/>
            </w:tcBorders>
            <w:shd w:val="clear" w:color="000000" w:fill="FFFFFF"/>
            <w:noWrap/>
            <w:hideMark/>
          </w:tcPr>
          <w:p w14:paraId="4953519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single" w:sz="8" w:space="0" w:color="auto"/>
              <w:right w:val="nil"/>
            </w:tcBorders>
            <w:shd w:val="clear" w:color="000000" w:fill="FFFFFF"/>
            <w:noWrap/>
            <w:hideMark/>
          </w:tcPr>
          <w:p w14:paraId="1C6E751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8" w:space="0" w:color="auto"/>
              <w:right w:val="nil"/>
            </w:tcBorders>
            <w:shd w:val="clear" w:color="000000" w:fill="FFFFFF"/>
            <w:noWrap/>
            <w:hideMark/>
          </w:tcPr>
          <w:p w14:paraId="548E954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54,3</w:t>
            </w:r>
          </w:p>
        </w:tc>
        <w:tc>
          <w:tcPr>
            <w:tcW w:w="576" w:type="pct"/>
            <w:gridSpan w:val="2"/>
            <w:tcBorders>
              <w:top w:val="nil"/>
              <w:left w:val="nil"/>
              <w:bottom w:val="single" w:sz="8" w:space="0" w:color="auto"/>
              <w:right w:val="nil"/>
            </w:tcBorders>
            <w:shd w:val="clear" w:color="000000" w:fill="FFFFFF"/>
            <w:noWrap/>
            <w:hideMark/>
          </w:tcPr>
          <w:p w14:paraId="7D02694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307</w:t>
            </w:r>
            <w:r w:rsidRPr="00367BEC">
              <w:rPr>
                <w:rFonts w:ascii="Times New Roman" w:hAnsi="Times New Roman"/>
                <w:color w:val="000000"/>
                <w:sz w:val="16"/>
              </w:rPr>
              <w:t>/565)</w:t>
            </w:r>
          </w:p>
        </w:tc>
        <w:tc>
          <w:tcPr>
            <w:tcW w:w="509" w:type="pct"/>
            <w:tcBorders>
              <w:top w:val="nil"/>
              <w:left w:val="nil"/>
              <w:bottom w:val="single" w:sz="8" w:space="0" w:color="auto"/>
              <w:right w:val="nil"/>
            </w:tcBorders>
            <w:shd w:val="clear" w:color="000000" w:fill="FFFFFF"/>
            <w:noWrap/>
            <w:hideMark/>
          </w:tcPr>
          <w:p w14:paraId="608F00B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8" w:space="0" w:color="auto"/>
              <w:right w:val="nil"/>
            </w:tcBorders>
            <w:shd w:val="clear" w:color="000000" w:fill="FFFFFF"/>
            <w:noWrap/>
            <w:hideMark/>
          </w:tcPr>
          <w:p w14:paraId="691A966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317DDFF" w14:textId="77777777" w:rsidTr="00CF1C1E">
        <w:trPr>
          <w:trHeight w:val="20"/>
        </w:trPr>
        <w:tc>
          <w:tcPr>
            <w:tcW w:w="623" w:type="pct"/>
            <w:tcBorders>
              <w:top w:val="nil"/>
              <w:left w:val="nil"/>
              <w:bottom w:val="nil"/>
              <w:right w:val="nil"/>
            </w:tcBorders>
            <w:shd w:val="clear" w:color="000000" w:fill="FFFFFF"/>
            <w:noWrap/>
            <w:hideMark/>
          </w:tcPr>
          <w:p w14:paraId="228415F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Schwittay</w:t>
            </w:r>
            <w:proofErr w:type="spellEnd"/>
            <w:r w:rsidRPr="00367BEC">
              <w:rPr>
                <w:rFonts w:ascii="Times New Roman" w:hAnsi="Times New Roman"/>
                <w:color w:val="000000"/>
                <w:sz w:val="16"/>
              </w:rPr>
              <w:t xml:space="preserve"> 2013</w:t>
            </w:r>
          </w:p>
        </w:tc>
        <w:tc>
          <w:tcPr>
            <w:tcW w:w="582" w:type="pct"/>
            <w:tcBorders>
              <w:top w:val="nil"/>
              <w:left w:val="nil"/>
              <w:bottom w:val="nil"/>
              <w:right w:val="nil"/>
            </w:tcBorders>
            <w:shd w:val="clear" w:color="000000" w:fill="FFFFFF"/>
            <w:noWrap/>
            <w:hideMark/>
          </w:tcPr>
          <w:p w14:paraId="404C0F1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207" w:type="pct"/>
            <w:tcBorders>
              <w:top w:val="nil"/>
              <w:left w:val="nil"/>
              <w:bottom w:val="nil"/>
              <w:right w:val="nil"/>
            </w:tcBorders>
            <w:shd w:val="clear" w:color="000000" w:fill="FFFFFF"/>
            <w:noWrap/>
            <w:hideMark/>
          </w:tcPr>
          <w:p w14:paraId="40EC5F3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↓&gt;50 % (%)</w:t>
            </w:r>
          </w:p>
        </w:tc>
        <w:tc>
          <w:tcPr>
            <w:tcW w:w="411" w:type="pct"/>
            <w:gridSpan w:val="3"/>
            <w:tcBorders>
              <w:top w:val="nil"/>
              <w:left w:val="nil"/>
              <w:bottom w:val="nil"/>
              <w:right w:val="nil"/>
            </w:tcBorders>
            <w:shd w:val="clear" w:color="000000" w:fill="FFFFFF"/>
            <w:noWrap/>
            <w:hideMark/>
          </w:tcPr>
          <w:p w14:paraId="470E9E9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16E71B9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3B1A38B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72,1</w:t>
            </w:r>
          </w:p>
        </w:tc>
        <w:tc>
          <w:tcPr>
            <w:tcW w:w="576" w:type="pct"/>
            <w:gridSpan w:val="2"/>
            <w:tcBorders>
              <w:top w:val="nil"/>
              <w:left w:val="nil"/>
              <w:bottom w:val="nil"/>
              <w:right w:val="nil"/>
            </w:tcBorders>
            <w:shd w:val="clear" w:color="000000" w:fill="FFFFFF"/>
            <w:noWrap/>
            <w:hideMark/>
          </w:tcPr>
          <w:p w14:paraId="77FD80B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2169</w:t>
            </w:r>
            <w:r w:rsidRPr="00367BEC">
              <w:rPr>
                <w:rFonts w:ascii="Times New Roman" w:hAnsi="Times New Roman"/>
                <w:color w:val="000000"/>
                <w:sz w:val="16"/>
              </w:rPr>
              <w:t>/3008)</w:t>
            </w:r>
          </w:p>
        </w:tc>
        <w:tc>
          <w:tcPr>
            <w:tcW w:w="509" w:type="pct"/>
            <w:tcBorders>
              <w:top w:val="nil"/>
              <w:left w:val="nil"/>
              <w:bottom w:val="nil"/>
              <w:right w:val="nil"/>
            </w:tcBorders>
            <w:shd w:val="clear" w:color="000000" w:fill="FFFFFF"/>
            <w:noWrap/>
            <w:hideMark/>
          </w:tcPr>
          <w:p w14:paraId="533EEE7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304E9E3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B997963" w14:textId="77777777" w:rsidTr="00CF1C1E">
        <w:trPr>
          <w:trHeight w:val="20"/>
        </w:trPr>
        <w:tc>
          <w:tcPr>
            <w:tcW w:w="623" w:type="pct"/>
            <w:tcBorders>
              <w:top w:val="nil"/>
              <w:left w:val="nil"/>
              <w:bottom w:val="nil"/>
              <w:right w:val="nil"/>
            </w:tcBorders>
            <w:shd w:val="clear" w:color="000000" w:fill="FFFFFF"/>
            <w:noWrap/>
            <w:hideMark/>
          </w:tcPr>
          <w:p w14:paraId="55AC66D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4" w:space="0" w:color="D0CECE" w:themeColor="background2" w:themeShade="E6"/>
              <w:right w:val="nil"/>
            </w:tcBorders>
            <w:shd w:val="clear" w:color="000000" w:fill="FFFFFF"/>
            <w:noWrap/>
            <w:hideMark/>
          </w:tcPr>
          <w:p w14:paraId="51F117F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4" w:space="0" w:color="D0CECE" w:themeColor="background2" w:themeShade="E6"/>
              <w:right w:val="nil"/>
            </w:tcBorders>
            <w:shd w:val="clear" w:color="000000" w:fill="FFFFFF"/>
            <w:noWrap/>
            <w:hideMark/>
          </w:tcPr>
          <w:p w14:paraId="2931803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≤OTP (2,8±1,3) (%)</w:t>
            </w:r>
          </w:p>
        </w:tc>
        <w:tc>
          <w:tcPr>
            <w:tcW w:w="411" w:type="pct"/>
            <w:gridSpan w:val="3"/>
            <w:tcBorders>
              <w:top w:val="nil"/>
              <w:left w:val="nil"/>
              <w:bottom w:val="single" w:sz="4" w:space="0" w:color="D0CECE" w:themeColor="background2" w:themeShade="E6"/>
              <w:right w:val="nil"/>
            </w:tcBorders>
            <w:shd w:val="clear" w:color="000000" w:fill="FFFFFF"/>
            <w:noWrap/>
            <w:hideMark/>
          </w:tcPr>
          <w:p w14:paraId="6B100F1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single" w:sz="4" w:space="0" w:color="D0CECE" w:themeColor="background2" w:themeShade="E6"/>
              <w:right w:val="nil"/>
            </w:tcBorders>
            <w:shd w:val="clear" w:color="000000" w:fill="FFFFFF"/>
            <w:noWrap/>
            <w:hideMark/>
          </w:tcPr>
          <w:p w14:paraId="621F30F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4" w:space="0" w:color="D0CECE" w:themeColor="background2" w:themeShade="E6"/>
              <w:right w:val="nil"/>
            </w:tcBorders>
            <w:shd w:val="clear" w:color="000000" w:fill="FFFFFF"/>
            <w:noWrap/>
            <w:hideMark/>
          </w:tcPr>
          <w:p w14:paraId="61A6E85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65,8</w:t>
            </w:r>
          </w:p>
        </w:tc>
        <w:tc>
          <w:tcPr>
            <w:tcW w:w="576" w:type="pct"/>
            <w:gridSpan w:val="2"/>
            <w:tcBorders>
              <w:top w:val="nil"/>
              <w:left w:val="nil"/>
              <w:bottom w:val="single" w:sz="4" w:space="0" w:color="D0CECE" w:themeColor="background2" w:themeShade="E6"/>
              <w:right w:val="nil"/>
            </w:tcBorders>
            <w:shd w:val="clear" w:color="000000" w:fill="FFFFFF"/>
            <w:noWrap/>
            <w:hideMark/>
          </w:tcPr>
          <w:p w14:paraId="5B2D608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1979</w:t>
            </w:r>
            <w:r w:rsidRPr="00367BEC">
              <w:rPr>
                <w:rFonts w:ascii="Times New Roman" w:hAnsi="Times New Roman"/>
                <w:color w:val="000000"/>
                <w:sz w:val="16"/>
              </w:rPr>
              <w:t>/3008)</w:t>
            </w:r>
          </w:p>
        </w:tc>
        <w:tc>
          <w:tcPr>
            <w:tcW w:w="509" w:type="pct"/>
            <w:tcBorders>
              <w:top w:val="nil"/>
              <w:left w:val="nil"/>
              <w:bottom w:val="single" w:sz="4" w:space="0" w:color="D0CECE" w:themeColor="background2" w:themeShade="E6"/>
              <w:right w:val="nil"/>
            </w:tcBorders>
            <w:shd w:val="clear" w:color="000000" w:fill="FFFFFF"/>
            <w:noWrap/>
            <w:hideMark/>
          </w:tcPr>
          <w:p w14:paraId="76DCD09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4" w:space="0" w:color="D0CECE" w:themeColor="background2" w:themeShade="E6"/>
              <w:right w:val="nil"/>
            </w:tcBorders>
            <w:shd w:val="clear" w:color="000000" w:fill="FFFFFF"/>
            <w:noWrap/>
            <w:hideMark/>
          </w:tcPr>
          <w:p w14:paraId="103C125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8C82B14" w14:textId="77777777" w:rsidTr="00CF1C1E">
        <w:trPr>
          <w:trHeight w:val="20"/>
        </w:trPr>
        <w:tc>
          <w:tcPr>
            <w:tcW w:w="623" w:type="pct"/>
            <w:tcBorders>
              <w:top w:val="nil"/>
              <w:left w:val="nil"/>
              <w:bottom w:val="nil"/>
              <w:right w:val="nil"/>
            </w:tcBorders>
            <w:shd w:val="clear" w:color="000000" w:fill="FFFFFF"/>
            <w:noWrap/>
            <w:hideMark/>
          </w:tcPr>
          <w:p w14:paraId="79D2B19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single" w:sz="4" w:space="0" w:color="D0CECE" w:themeColor="background2" w:themeShade="E6"/>
              <w:left w:val="nil"/>
              <w:bottom w:val="nil"/>
              <w:right w:val="nil"/>
            </w:tcBorders>
            <w:shd w:val="clear" w:color="000000" w:fill="FFFFFF"/>
            <w:noWrap/>
            <w:hideMark/>
          </w:tcPr>
          <w:p w14:paraId="22F4CE8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TAP </w:t>
            </w:r>
            <w:proofErr w:type="spellStart"/>
            <w:r w:rsidRPr="00367BEC">
              <w:rPr>
                <w:rFonts w:ascii="Times New Roman" w:hAnsi="Times New Roman"/>
                <w:color w:val="000000"/>
                <w:sz w:val="16"/>
              </w:rPr>
              <w:t>PR</w:t>
            </w:r>
            <w:r w:rsidRPr="00367BEC">
              <w:rPr>
                <w:rFonts w:ascii="Times New Roman" w:hAnsi="Times New Roman"/>
                <w:b/>
                <w:color w:val="000000"/>
                <w:sz w:val="16"/>
                <w:vertAlign w:val="superscript"/>
              </w:rPr>
              <w:t>b</w:t>
            </w:r>
            <w:proofErr w:type="spellEnd"/>
          </w:p>
        </w:tc>
        <w:tc>
          <w:tcPr>
            <w:tcW w:w="1207" w:type="pct"/>
            <w:tcBorders>
              <w:top w:val="single" w:sz="4" w:space="0" w:color="D0CECE" w:themeColor="background2" w:themeShade="E6"/>
              <w:left w:val="nil"/>
              <w:bottom w:val="nil"/>
              <w:right w:val="nil"/>
            </w:tcBorders>
            <w:shd w:val="clear" w:color="000000" w:fill="FFFFFF"/>
            <w:noWrap/>
            <w:hideMark/>
          </w:tcPr>
          <w:p w14:paraId="24A483B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↓&gt;50 % (%)</w:t>
            </w:r>
          </w:p>
        </w:tc>
        <w:tc>
          <w:tcPr>
            <w:tcW w:w="411" w:type="pct"/>
            <w:gridSpan w:val="3"/>
            <w:tcBorders>
              <w:top w:val="single" w:sz="4" w:space="0" w:color="D0CECE" w:themeColor="background2" w:themeShade="E6"/>
              <w:left w:val="nil"/>
              <w:bottom w:val="nil"/>
              <w:right w:val="nil"/>
            </w:tcBorders>
            <w:shd w:val="clear" w:color="000000" w:fill="FFFFFF"/>
            <w:noWrap/>
            <w:hideMark/>
          </w:tcPr>
          <w:p w14:paraId="565EA9F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single" w:sz="4" w:space="0" w:color="D0CECE" w:themeColor="background2" w:themeShade="E6"/>
              <w:left w:val="nil"/>
              <w:bottom w:val="nil"/>
              <w:right w:val="nil"/>
            </w:tcBorders>
            <w:shd w:val="clear" w:color="000000" w:fill="FFFFFF"/>
            <w:noWrap/>
            <w:hideMark/>
          </w:tcPr>
          <w:p w14:paraId="08AAA34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single" w:sz="4" w:space="0" w:color="D0CECE" w:themeColor="background2" w:themeShade="E6"/>
              <w:left w:val="nil"/>
              <w:bottom w:val="nil"/>
              <w:right w:val="nil"/>
            </w:tcBorders>
            <w:shd w:val="clear" w:color="000000" w:fill="FFFFFF"/>
            <w:noWrap/>
            <w:hideMark/>
          </w:tcPr>
          <w:p w14:paraId="15467FA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67,2</w:t>
            </w:r>
          </w:p>
        </w:tc>
        <w:tc>
          <w:tcPr>
            <w:tcW w:w="576" w:type="pct"/>
            <w:gridSpan w:val="2"/>
            <w:tcBorders>
              <w:top w:val="single" w:sz="4" w:space="0" w:color="D0CECE" w:themeColor="background2" w:themeShade="E6"/>
              <w:left w:val="nil"/>
              <w:bottom w:val="nil"/>
              <w:right w:val="nil"/>
            </w:tcBorders>
            <w:shd w:val="clear" w:color="000000" w:fill="FFFFFF"/>
            <w:noWrap/>
            <w:hideMark/>
          </w:tcPr>
          <w:p w14:paraId="4C9C37F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862</w:t>
            </w:r>
            <w:r w:rsidRPr="00367BEC">
              <w:rPr>
                <w:rFonts w:ascii="Times New Roman" w:hAnsi="Times New Roman"/>
                <w:color w:val="000000"/>
                <w:sz w:val="16"/>
              </w:rPr>
              <w:t>/1283)</w:t>
            </w:r>
          </w:p>
        </w:tc>
        <w:tc>
          <w:tcPr>
            <w:tcW w:w="509" w:type="pct"/>
            <w:tcBorders>
              <w:top w:val="single" w:sz="4" w:space="0" w:color="D0CECE" w:themeColor="background2" w:themeShade="E6"/>
              <w:left w:val="nil"/>
              <w:bottom w:val="nil"/>
              <w:right w:val="nil"/>
            </w:tcBorders>
            <w:shd w:val="clear" w:color="000000" w:fill="FFFFFF"/>
            <w:noWrap/>
            <w:hideMark/>
          </w:tcPr>
          <w:p w14:paraId="201B895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single" w:sz="4" w:space="0" w:color="D0CECE" w:themeColor="background2" w:themeShade="E6"/>
              <w:left w:val="nil"/>
              <w:bottom w:val="nil"/>
              <w:right w:val="nil"/>
            </w:tcBorders>
            <w:shd w:val="clear" w:color="000000" w:fill="FFFFFF"/>
            <w:noWrap/>
            <w:hideMark/>
          </w:tcPr>
          <w:p w14:paraId="5B71D36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F76C394" w14:textId="77777777" w:rsidTr="00CF1C1E">
        <w:trPr>
          <w:trHeight w:val="20"/>
        </w:trPr>
        <w:tc>
          <w:tcPr>
            <w:tcW w:w="623" w:type="pct"/>
            <w:tcBorders>
              <w:top w:val="nil"/>
              <w:left w:val="nil"/>
              <w:bottom w:val="single" w:sz="8" w:space="0" w:color="auto"/>
              <w:right w:val="nil"/>
            </w:tcBorders>
            <w:shd w:val="clear" w:color="000000" w:fill="FFFFFF"/>
            <w:noWrap/>
            <w:hideMark/>
          </w:tcPr>
          <w:p w14:paraId="7229602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8" w:space="0" w:color="auto"/>
              <w:right w:val="nil"/>
            </w:tcBorders>
            <w:shd w:val="clear" w:color="000000" w:fill="FFFFFF"/>
            <w:noWrap/>
            <w:hideMark/>
          </w:tcPr>
          <w:p w14:paraId="38599ED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8" w:space="0" w:color="auto"/>
              <w:right w:val="nil"/>
            </w:tcBorders>
            <w:shd w:val="clear" w:color="000000" w:fill="FFFFFF"/>
            <w:noWrap/>
            <w:hideMark/>
          </w:tcPr>
          <w:p w14:paraId="61306C3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≤OTP (2,9±1,3) (%)</w:t>
            </w:r>
          </w:p>
        </w:tc>
        <w:tc>
          <w:tcPr>
            <w:tcW w:w="411" w:type="pct"/>
            <w:gridSpan w:val="3"/>
            <w:tcBorders>
              <w:top w:val="nil"/>
              <w:left w:val="nil"/>
              <w:bottom w:val="single" w:sz="8" w:space="0" w:color="auto"/>
              <w:right w:val="nil"/>
            </w:tcBorders>
            <w:shd w:val="clear" w:color="000000" w:fill="FFFFFF"/>
            <w:noWrap/>
            <w:hideMark/>
          </w:tcPr>
          <w:p w14:paraId="19B42AF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single" w:sz="8" w:space="0" w:color="auto"/>
              <w:right w:val="nil"/>
            </w:tcBorders>
            <w:shd w:val="clear" w:color="000000" w:fill="FFFFFF"/>
            <w:noWrap/>
            <w:hideMark/>
          </w:tcPr>
          <w:p w14:paraId="2FE1D77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single" w:sz="8" w:space="0" w:color="auto"/>
              <w:right w:val="nil"/>
            </w:tcBorders>
            <w:shd w:val="clear" w:color="000000" w:fill="FFFFFF"/>
            <w:noWrap/>
            <w:hideMark/>
          </w:tcPr>
          <w:p w14:paraId="0612F85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63,5</w:t>
            </w:r>
          </w:p>
        </w:tc>
        <w:tc>
          <w:tcPr>
            <w:tcW w:w="576" w:type="pct"/>
            <w:gridSpan w:val="2"/>
            <w:tcBorders>
              <w:top w:val="nil"/>
              <w:left w:val="nil"/>
              <w:bottom w:val="single" w:sz="8" w:space="0" w:color="auto"/>
              <w:right w:val="nil"/>
            </w:tcBorders>
            <w:shd w:val="clear" w:color="000000" w:fill="FFFFFF"/>
            <w:noWrap/>
            <w:hideMark/>
          </w:tcPr>
          <w:p w14:paraId="20CE303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815</w:t>
            </w:r>
            <w:r w:rsidRPr="00367BEC">
              <w:rPr>
                <w:rFonts w:ascii="Times New Roman" w:hAnsi="Times New Roman"/>
                <w:color w:val="000000"/>
                <w:sz w:val="16"/>
              </w:rPr>
              <w:t>/1283)</w:t>
            </w:r>
          </w:p>
        </w:tc>
        <w:tc>
          <w:tcPr>
            <w:tcW w:w="509" w:type="pct"/>
            <w:tcBorders>
              <w:top w:val="nil"/>
              <w:left w:val="nil"/>
              <w:bottom w:val="single" w:sz="8" w:space="0" w:color="auto"/>
              <w:right w:val="nil"/>
            </w:tcBorders>
            <w:shd w:val="clear" w:color="000000" w:fill="FFFFFF"/>
            <w:noWrap/>
            <w:hideMark/>
          </w:tcPr>
          <w:p w14:paraId="211BBB0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single" w:sz="8" w:space="0" w:color="auto"/>
              <w:right w:val="nil"/>
            </w:tcBorders>
            <w:shd w:val="clear" w:color="000000" w:fill="FFFFFF"/>
            <w:noWrap/>
            <w:hideMark/>
          </w:tcPr>
          <w:p w14:paraId="3FE3566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67EEF2F" w14:textId="77777777" w:rsidTr="00CF1C1E">
        <w:trPr>
          <w:trHeight w:val="20"/>
        </w:trPr>
        <w:tc>
          <w:tcPr>
            <w:tcW w:w="623" w:type="pct"/>
            <w:tcBorders>
              <w:top w:val="nil"/>
              <w:left w:val="nil"/>
              <w:bottom w:val="nil"/>
              <w:right w:val="nil"/>
            </w:tcBorders>
            <w:shd w:val="clear" w:color="000000" w:fill="FFFFFF"/>
            <w:noWrap/>
            <w:hideMark/>
          </w:tcPr>
          <w:p w14:paraId="5A39B88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López 2016</w:t>
            </w:r>
          </w:p>
        </w:tc>
        <w:tc>
          <w:tcPr>
            <w:tcW w:w="582" w:type="pct"/>
            <w:tcBorders>
              <w:top w:val="nil"/>
              <w:left w:val="nil"/>
              <w:bottom w:val="nil"/>
              <w:right w:val="nil"/>
            </w:tcBorders>
            <w:shd w:val="clear" w:color="000000" w:fill="FFFFFF"/>
            <w:noWrap/>
            <w:hideMark/>
          </w:tcPr>
          <w:p w14:paraId="736973A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207" w:type="pct"/>
            <w:tcBorders>
              <w:top w:val="nil"/>
              <w:left w:val="nil"/>
              <w:bottom w:val="nil"/>
              <w:right w:val="nil"/>
            </w:tcBorders>
            <w:shd w:val="clear" w:color="000000" w:fill="FFFFFF"/>
            <w:noWrap/>
            <w:hideMark/>
          </w:tcPr>
          <w:p w14:paraId="2F87A31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Respuesta potente en EVA-11 (%)</w:t>
            </w:r>
          </w:p>
        </w:tc>
        <w:tc>
          <w:tcPr>
            <w:tcW w:w="411" w:type="pct"/>
            <w:gridSpan w:val="3"/>
            <w:tcBorders>
              <w:top w:val="nil"/>
              <w:left w:val="nil"/>
              <w:bottom w:val="nil"/>
              <w:right w:val="nil"/>
            </w:tcBorders>
            <w:shd w:val="clear" w:color="000000" w:fill="FFFFFF"/>
            <w:noWrap/>
            <w:hideMark/>
          </w:tcPr>
          <w:p w14:paraId="018985B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13DAE8A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501C83E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66,0</w:t>
            </w:r>
          </w:p>
        </w:tc>
        <w:tc>
          <w:tcPr>
            <w:tcW w:w="576" w:type="pct"/>
            <w:gridSpan w:val="2"/>
            <w:tcBorders>
              <w:top w:val="nil"/>
              <w:left w:val="nil"/>
              <w:bottom w:val="nil"/>
              <w:right w:val="nil"/>
            </w:tcBorders>
            <w:shd w:val="clear" w:color="000000" w:fill="FFFFFF"/>
            <w:noWrap/>
            <w:hideMark/>
          </w:tcPr>
          <w:p w14:paraId="70FDC29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(35/53)</w:t>
            </w:r>
          </w:p>
        </w:tc>
        <w:tc>
          <w:tcPr>
            <w:tcW w:w="509" w:type="pct"/>
            <w:tcBorders>
              <w:top w:val="nil"/>
              <w:left w:val="nil"/>
              <w:bottom w:val="nil"/>
              <w:right w:val="nil"/>
            </w:tcBorders>
            <w:shd w:val="clear" w:color="000000" w:fill="FFFFFF"/>
            <w:noWrap/>
            <w:hideMark/>
          </w:tcPr>
          <w:p w14:paraId="522033A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386ADBC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4C85211" w14:textId="77777777" w:rsidTr="00CF1C1E">
        <w:trPr>
          <w:trHeight w:val="20"/>
        </w:trPr>
        <w:tc>
          <w:tcPr>
            <w:tcW w:w="623" w:type="pct"/>
            <w:tcBorders>
              <w:top w:val="nil"/>
              <w:left w:val="nil"/>
              <w:bottom w:val="nil"/>
              <w:right w:val="nil"/>
            </w:tcBorders>
            <w:shd w:val="clear" w:color="000000" w:fill="FFFFFF"/>
            <w:noWrap/>
            <w:hideMark/>
          </w:tcPr>
          <w:p w14:paraId="7EAAC24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77EB0BE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0F34AA7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Respuesta parcial en EVA-11 (%)</w:t>
            </w:r>
          </w:p>
        </w:tc>
        <w:tc>
          <w:tcPr>
            <w:tcW w:w="411" w:type="pct"/>
            <w:gridSpan w:val="3"/>
            <w:tcBorders>
              <w:top w:val="nil"/>
              <w:left w:val="nil"/>
              <w:bottom w:val="nil"/>
              <w:right w:val="nil"/>
            </w:tcBorders>
            <w:shd w:val="clear" w:color="000000" w:fill="FFFFFF"/>
            <w:noWrap/>
            <w:hideMark/>
          </w:tcPr>
          <w:p w14:paraId="727C28F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203D4DA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6AD7B33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26,4</w:t>
            </w:r>
          </w:p>
        </w:tc>
        <w:tc>
          <w:tcPr>
            <w:tcW w:w="576" w:type="pct"/>
            <w:gridSpan w:val="2"/>
            <w:tcBorders>
              <w:top w:val="nil"/>
              <w:left w:val="nil"/>
              <w:bottom w:val="nil"/>
              <w:right w:val="nil"/>
            </w:tcBorders>
            <w:shd w:val="clear" w:color="000000" w:fill="FFFFFF"/>
            <w:noWrap/>
            <w:hideMark/>
          </w:tcPr>
          <w:p w14:paraId="70021DE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(14/53)</w:t>
            </w:r>
          </w:p>
        </w:tc>
        <w:tc>
          <w:tcPr>
            <w:tcW w:w="509" w:type="pct"/>
            <w:tcBorders>
              <w:top w:val="nil"/>
              <w:left w:val="nil"/>
              <w:bottom w:val="nil"/>
              <w:right w:val="nil"/>
            </w:tcBorders>
            <w:shd w:val="clear" w:color="000000" w:fill="FFFFFF"/>
            <w:noWrap/>
            <w:hideMark/>
          </w:tcPr>
          <w:p w14:paraId="1C418B9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19942E7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2F38EC7" w14:textId="77777777" w:rsidTr="00CF1C1E">
        <w:trPr>
          <w:trHeight w:val="20"/>
        </w:trPr>
        <w:tc>
          <w:tcPr>
            <w:tcW w:w="623" w:type="pct"/>
            <w:tcBorders>
              <w:top w:val="nil"/>
              <w:left w:val="nil"/>
              <w:bottom w:val="nil"/>
              <w:right w:val="nil"/>
            </w:tcBorders>
            <w:shd w:val="clear" w:color="000000" w:fill="FFFFFF"/>
            <w:noWrap/>
            <w:hideMark/>
          </w:tcPr>
          <w:p w14:paraId="74013C2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6E6D862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7AC1364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Sin respuesta en EVA-11 (%)</w:t>
            </w:r>
          </w:p>
        </w:tc>
        <w:tc>
          <w:tcPr>
            <w:tcW w:w="411" w:type="pct"/>
            <w:gridSpan w:val="3"/>
            <w:tcBorders>
              <w:top w:val="nil"/>
              <w:left w:val="nil"/>
              <w:bottom w:val="nil"/>
              <w:right w:val="nil"/>
            </w:tcBorders>
            <w:shd w:val="clear" w:color="000000" w:fill="FFFFFF"/>
            <w:noWrap/>
            <w:hideMark/>
          </w:tcPr>
          <w:p w14:paraId="614D0C9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63E947A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076FF95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7,5</w:t>
            </w:r>
          </w:p>
        </w:tc>
        <w:tc>
          <w:tcPr>
            <w:tcW w:w="576" w:type="pct"/>
            <w:gridSpan w:val="2"/>
            <w:tcBorders>
              <w:top w:val="nil"/>
              <w:left w:val="nil"/>
              <w:bottom w:val="nil"/>
              <w:right w:val="nil"/>
            </w:tcBorders>
            <w:shd w:val="clear" w:color="000000" w:fill="FFFFFF"/>
            <w:noWrap/>
            <w:hideMark/>
          </w:tcPr>
          <w:p w14:paraId="6DBC4BC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(4/53)</w:t>
            </w:r>
          </w:p>
        </w:tc>
        <w:tc>
          <w:tcPr>
            <w:tcW w:w="509" w:type="pct"/>
            <w:tcBorders>
              <w:top w:val="nil"/>
              <w:left w:val="nil"/>
              <w:bottom w:val="nil"/>
              <w:right w:val="nil"/>
            </w:tcBorders>
            <w:shd w:val="clear" w:color="000000" w:fill="FFFFFF"/>
            <w:noWrap/>
            <w:hideMark/>
          </w:tcPr>
          <w:p w14:paraId="6BB2EED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4A81DC7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9F16E9A" w14:textId="77777777" w:rsidTr="00CF1C1E">
        <w:trPr>
          <w:trHeight w:val="20"/>
        </w:trPr>
        <w:tc>
          <w:tcPr>
            <w:tcW w:w="623" w:type="pct"/>
            <w:tcBorders>
              <w:top w:val="single" w:sz="8" w:space="0" w:color="auto"/>
              <w:left w:val="nil"/>
              <w:bottom w:val="nil"/>
              <w:right w:val="nil"/>
            </w:tcBorders>
            <w:shd w:val="clear" w:color="000000" w:fill="FFFFFF"/>
            <w:noWrap/>
            <w:hideMark/>
          </w:tcPr>
          <w:p w14:paraId="04B9686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Schwenke</w:t>
            </w:r>
            <w:proofErr w:type="spellEnd"/>
            <w:r w:rsidRPr="00367BEC">
              <w:rPr>
                <w:rFonts w:ascii="Times New Roman" w:hAnsi="Times New Roman"/>
                <w:color w:val="000000"/>
                <w:sz w:val="16"/>
              </w:rPr>
              <w:t xml:space="preserve"> 2015</w:t>
            </w:r>
          </w:p>
        </w:tc>
        <w:tc>
          <w:tcPr>
            <w:tcW w:w="582" w:type="pct"/>
            <w:tcBorders>
              <w:top w:val="single" w:sz="8" w:space="0" w:color="auto"/>
              <w:left w:val="nil"/>
              <w:bottom w:val="nil"/>
              <w:right w:val="nil"/>
            </w:tcBorders>
            <w:shd w:val="clear" w:color="000000" w:fill="FFFFFF"/>
            <w:noWrap/>
            <w:hideMark/>
          </w:tcPr>
          <w:p w14:paraId="57E7C21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207" w:type="pct"/>
            <w:tcBorders>
              <w:top w:val="single" w:sz="8" w:space="0" w:color="auto"/>
              <w:left w:val="nil"/>
              <w:bottom w:val="nil"/>
              <w:right w:val="nil"/>
            </w:tcBorders>
            <w:shd w:val="clear" w:color="000000" w:fill="FFFFFF"/>
            <w:noWrap/>
            <w:hideMark/>
          </w:tcPr>
          <w:p w14:paraId="710DB17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↓&gt;50 % (%)</w:t>
            </w:r>
          </w:p>
        </w:tc>
        <w:tc>
          <w:tcPr>
            <w:tcW w:w="411" w:type="pct"/>
            <w:gridSpan w:val="3"/>
            <w:tcBorders>
              <w:top w:val="single" w:sz="8" w:space="0" w:color="auto"/>
              <w:left w:val="nil"/>
              <w:bottom w:val="nil"/>
              <w:right w:val="nil"/>
            </w:tcBorders>
            <w:shd w:val="clear" w:color="000000" w:fill="FFFFFF"/>
            <w:noWrap/>
            <w:hideMark/>
          </w:tcPr>
          <w:p w14:paraId="355D01A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single" w:sz="8" w:space="0" w:color="auto"/>
              <w:left w:val="nil"/>
              <w:bottom w:val="nil"/>
              <w:right w:val="nil"/>
            </w:tcBorders>
            <w:shd w:val="clear" w:color="000000" w:fill="FFFFFF"/>
            <w:noWrap/>
            <w:hideMark/>
          </w:tcPr>
          <w:p w14:paraId="4C15807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single" w:sz="8" w:space="0" w:color="auto"/>
              <w:left w:val="nil"/>
              <w:bottom w:val="nil"/>
              <w:right w:val="nil"/>
            </w:tcBorders>
            <w:shd w:val="clear" w:color="000000" w:fill="FFFFFF"/>
            <w:noWrap/>
            <w:hideMark/>
          </w:tcPr>
          <w:p w14:paraId="6FEF424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67,4</w:t>
            </w:r>
          </w:p>
        </w:tc>
        <w:tc>
          <w:tcPr>
            <w:tcW w:w="576" w:type="pct"/>
            <w:gridSpan w:val="2"/>
            <w:tcBorders>
              <w:top w:val="single" w:sz="8" w:space="0" w:color="auto"/>
              <w:left w:val="nil"/>
              <w:bottom w:val="nil"/>
              <w:right w:val="nil"/>
            </w:tcBorders>
            <w:shd w:val="clear" w:color="000000" w:fill="FFFFFF"/>
            <w:noWrap/>
            <w:hideMark/>
          </w:tcPr>
          <w:p w14:paraId="48CE9C3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87</w:t>
            </w:r>
            <w:r w:rsidRPr="00367BEC">
              <w:rPr>
                <w:rFonts w:ascii="Times New Roman" w:hAnsi="Times New Roman"/>
                <w:color w:val="000000"/>
                <w:sz w:val="16"/>
              </w:rPr>
              <w:t>/129)</w:t>
            </w:r>
          </w:p>
        </w:tc>
        <w:tc>
          <w:tcPr>
            <w:tcW w:w="509" w:type="pct"/>
            <w:tcBorders>
              <w:top w:val="single" w:sz="8" w:space="0" w:color="auto"/>
              <w:left w:val="nil"/>
              <w:bottom w:val="nil"/>
              <w:right w:val="nil"/>
            </w:tcBorders>
            <w:shd w:val="clear" w:color="000000" w:fill="FFFFFF"/>
            <w:noWrap/>
            <w:hideMark/>
          </w:tcPr>
          <w:p w14:paraId="394B147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single" w:sz="8" w:space="0" w:color="auto"/>
              <w:left w:val="nil"/>
              <w:bottom w:val="nil"/>
              <w:right w:val="nil"/>
            </w:tcBorders>
            <w:shd w:val="clear" w:color="000000" w:fill="FFFFFF"/>
            <w:noWrap/>
            <w:hideMark/>
          </w:tcPr>
          <w:p w14:paraId="105DCF9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970BFAC" w14:textId="77777777" w:rsidTr="00CF1C1E">
        <w:trPr>
          <w:trHeight w:val="20"/>
        </w:trPr>
        <w:tc>
          <w:tcPr>
            <w:tcW w:w="623" w:type="pct"/>
            <w:tcBorders>
              <w:top w:val="nil"/>
              <w:left w:val="nil"/>
              <w:bottom w:val="nil"/>
              <w:right w:val="nil"/>
            </w:tcBorders>
            <w:shd w:val="clear" w:color="000000" w:fill="FFFFFF"/>
            <w:noWrap/>
            <w:hideMark/>
          </w:tcPr>
          <w:p w14:paraId="3E2D043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60080FB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304EE55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≤OTP (2,9±1,4) (%)</w:t>
            </w:r>
          </w:p>
        </w:tc>
        <w:tc>
          <w:tcPr>
            <w:tcW w:w="411" w:type="pct"/>
            <w:gridSpan w:val="3"/>
            <w:tcBorders>
              <w:top w:val="nil"/>
              <w:left w:val="nil"/>
              <w:bottom w:val="nil"/>
              <w:right w:val="nil"/>
            </w:tcBorders>
            <w:shd w:val="clear" w:color="000000" w:fill="FFFFFF"/>
            <w:noWrap/>
            <w:hideMark/>
          </w:tcPr>
          <w:p w14:paraId="5DC15E5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50" w:type="pct"/>
            <w:tcBorders>
              <w:top w:val="nil"/>
              <w:left w:val="nil"/>
              <w:bottom w:val="nil"/>
              <w:right w:val="nil"/>
            </w:tcBorders>
            <w:shd w:val="clear" w:color="000000" w:fill="FFFFFF"/>
            <w:noWrap/>
            <w:hideMark/>
          </w:tcPr>
          <w:p w14:paraId="5E4C6B9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34C79C9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60,5</w:t>
            </w:r>
          </w:p>
        </w:tc>
        <w:tc>
          <w:tcPr>
            <w:tcW w:w="576" w:type="pct"/>
            <w:gridSpan w:val="2"/>
            <w:tcBorders>
              <w:top w:val="nil"/>
              <w:left w:val="nil"/>
              <w:bottom w:val="nil"/>
              <w:right w:val="nil"/>
            </w:tcBorders>
            <w:shd w:val="clear" w:color="000000" w:fill="FFFFFF"/>
            <w:noWrap/>
            <w:hideMark/>
          </w:tcPr>
          <w:p w14:paraId="68CE99C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78</w:t>
            </w:r>
            <w:r w:rsidRPr="00367BEC">
              <w:rPr>
                <w:rFonts w:ascii="Times New Roman" w:hAnsi="Times New Roman"/>
                <w:color w:val="000000"/>
                <w:sz w:val="16"/>
              </w:rPr>
              <w:t>/129)</w:t>
            </w:r>
          </w:p>
        </w:tc>
        <w:tc>
          <w:tcPr>
            <w:tcW w:w="509" w:type="pct"/>
            <w:tcBorders>
              <w:top w:val="nil"/>
              <w:left w:val="nil"/>
              <w:bottom w:val="nil"/>
              <w:right w:val="nil"/>
            </w:tcBorders>
            <w:shd w:val="clear" w:color="000000" w:fill="FFFFFF"/>
            <w:noWrap/>
            <w:hideMark/>
          </w:tcPr>
          <w:p w14:paraId="58ED5F9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25794C4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E9D09E5" w14:textId="77777777" w:rsidTr="00CF1C1E">
        <w:trPr>
          <w:trHeight w:val="20"/>
        </w:trPr>
        <w:tc>
          <w:tcPr>
            <w:tcW w:w="623" w:type="pct"/>
            <w:tcBorders>
              <w:top w:val="single" w:sz="8" w:space="0" w:color="auto"/>
              <w:left w:val="nil"/>
              <w:bottom w:val="nil"/>
              <w:right w:val="nil"/>
            </w:tcBorders>
            <w:shd w:val="clear" w:color="000000" w:fill="FFFFFF"/>
            <w:noWrap/>
            <w:hideMark/>
          </w:tcPr>
          <w:p w14:paraId="35760EF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Schikowski</w:t>
            </w:r>
            <w:proofErr w:type="spellEnd"/>
            <w:r w:rsidRPr="00367BEC">
              <w:rPr>
                <w:rFonts w:ascii="Times New Roman" w:hAnsi="Times New Roman"/>
                <w:color w:val="000000"/>
                <w:sz w:val="16"/>
              </w:rPr>
              <w:t xml:space="preserve"> 2015</w:t>
            </w:r>
          </w:p>
        </w:tc>
        <w:tc>
          <w:tcPr>
            <w:tcW w:w="582" w:type="pct"/>
            <w:tcBorders>
              <w:top w:val="single" w:sz="8" w:space="0" w:color="auto"/>
              <w:left w:val="nil"/>
              <w:bottom w:val="nil"/>
              <w:right w:val="nil"/>
            </w:tcBorders>
            <w:shd w:val="clear" w:color="000000" w:fill="FFFFFF"/>
            <w:noWrap/>
            <w:hideMark/>
          </w:tcPr>
          <w:p w14:paraId="0D27E4C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207" w:type="pct"/>
            <w:tcBorders>
              <w:top w:val="single" w:sz="8" w:space="0" w:color="auto"/>
              <w:left w:val="nil"/>
              <w:bottom w:val="nil"/>
              <w:right w:val="nil"/>
            </w:tcBorders>
            <w:shd w:val="clear" w:color="000000" w:fill="FFFFFF"/>
            <w:noWrap/>
            <w:hideMark/>
          </w:tcPr>
          <w:p w14:paraId="4E808D1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≤3 (%)</w:t>
            </w:r>
          </w:p>
        </w:tc>
        <w:tc>
          <w:tcPr>
            <w:tcW w:w="195" w:type="pct"/>
            <w:gridSpan w:val="2"/>
            <w:tcBorders>
              <w:top w:val="single" w:sz="8" w:space="0" w:color="auto"/>
              <w:left w:val="nil"/>
              <w:bottom w:val="nil"/>
              <w:right w:val="nil"/>
            </w:tcBorders>
            <w:shd w:val="clear" w:color="000000" w:fill="FFFFFF"/>
            <w:noWrap/>
            <w:hideMark/>
          </w:tcPr>
          <w:p w14:paraId="34B1B3A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single" w:sz="8" w:space="0" w:color="auto"/>
              <w:left w:val="nil"/>
              <w:bottom w:val="nil"/>
              <w:right w:val="nil"/>
            </w:tcBorders>
            <w:shd w:val="clear" w:color="000000" w:fill="FFFFFF"/>
            <w:noWrap/>
            <w:hideMark/>
          </w:tcPr>
          <w:p w14:paraId="2045D0A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single" w:sz="8" w:space="0" w:color="auto"/>
              <w:left w:val="nil"/>
              <w:bottom w:val="nil"/>
              <w:right w:val="nil"/>
            </w:tcBorders>
            <w:shd w:val="clear" w:color="000000" w:fill="FFFFFF"/>
            <w:noWrap/>
            <w:hideMark/>
          </w:tcPr>
          <w:p w14:paraId="31627F5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52,0</w:t>
            </w:r>
          </w:p>
        </w:tc>
        <w:tc>
          <w:tcPr>
            <w:tcW w:w="576" w:type="pct"/>
            <w:gridSpan w:val="2"/>
            <w:tcBorders>
              <w:top w:val="single" w:sz="8" w:space="0" w:color="auto"/>
              <w:left w:val="nil"/>
              <w:bottom w:val="nil"/>
              <w:right w:val="nil"/>
            </w:tcBorders>
            <w:shd w:val="clear" w:color="000000" w:fill="FFFFFF"/>
            <w:noWrap/>
            <w:hideMark/>
          </w:tcPr>
          <w:p w14:paraId="2ABC234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(64/123)</w:t>
            </w:r>
          </w:p>
        </w:tc>
        <w:tc>
          <w:tcPr>
            <w:tcW w:w="509" w:type="pct"/>
            <w:tcBorders>
              <w:top w:val="single" w:sz="8" w:space="0" w:color="auto"/>
              <w:left w:val="nil"/>
              <w:bottom w:val="nil"/>
              <w:right w:val="nil"/>
            </w:tcBorders>
            <w:shd w:val="clear" w:color="000000" w:fill="FFFFFF"/>
            <w:noWrap/>
            <w:hideMark/>
          </w:tcPr>
          <w:p w14:paraId="0EA2C34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single" w:sz="8" w:space="0" w:color="auto"/>
              <w:left w:val="nil"/>
              <w:bottom w:val="nil"/>
              <w:right w:val="nil"/>
            </w:tcBorders>
            <w:shd w:val="clear" w:color="000000" w:fill="FFFFFF"/>
            <w:noWrap/>
            <w:hideMark/>
          </w:tcPr>
          <w:p w14:paraId="152B064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A53D803" w14:textId="77777777" w:rsidTr="00CF1C1E">
        <w:trPr>
          <w:trHeight w:val="20"/>
        </w:trPr>
        <w:tc>
          <w:tcPr>
            <w:tcW w:w="623" w:type="pct"/>
            <w:tcBorders>
              <w:top w:val="nil"/>
              <w:left w:val="nil"/>
              <w:bottom w:val="nil"/>
              <w:right w:val="nil"/>
            </w:tcBorders>
            <w:shd w:val="clear" w:color="000000" w:fill="FFFFFF"/>
            <w:noWrap/>
            <w:hideMark/>
          </w:tcPr>
          <w:p w14:paraId="599154D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3770438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68DB44D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=3 (%)</w:t>
            </w:r>
          </w:p>
        </w:tc>
        <w:tc>
          <w:tcPr>
            <w:tcW w:w="195" w:type="pct"/>
            <w:gridSpan w:val="2"/>
            <w:tcBorders>
              <w:top w:val="nil"/>
              <w:left w:val="nil"/>
              <w:bottom w:val="nil"/>
              <w:right w:val="nil"/>
            </w:tcBorders>
            <w:shd w:val="clear" w:color="000000" w:fill="FFFFFF"/>
            <w:noWrap/>
            <w:hideMark/>
          </w:tcPr>
          <w:p w14:paraId="3EECF22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nil"/>
              <w:left w:val="nil"/>
              <w:bottom w:val="nil"/>
              <w:right w:val="nil"/>
            </w:tcBorders>
            <w:shd w:val="clear" w:color="000000" w:fill="FFFFFF"/>
            <w:noWrap/>
            <w:hideMark/>
          </w:tcPr>
          <w:p w14:paraId="23129A4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1BB5AD6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2,4</w:t>
            </w:r>
          </w:p>
        </w:tc>
        <w:tc>
          <w:tcPr>
            <w:tcW w:w="576" w:type="pct"/>
            <w:gridSpan w:val="2"/>
            <w:tcBorders>
              <w:top w:val="nil"/>
              <w:left w:val="nil"/>
              <w:bottom w:val="nil"/>
              <w:right w:val="nil"/>
            </w:tcBorders>
            <w:shd w:val="clear" w:color="000000" w:fill="FFFFFF"/>
            <w:noWrap/>
            <w:hideMark/>
          </w:tcPr>
          <w:p w14:paraId="23C900F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(3/123)</w:t>
            </w:r>
          </w:p>
        </w:tc>
        <w:tc>
          <w:tcPr>
            <w:tcW w:w="509" w:type="pct"/>
            <w:tcBorders>
              <w:top w:val="nil"/>
              <w:left w:val="nil"/>
              <w:bottom w:val="nil"/>
              <w:right w:val="nil"/>
            </w:tcBorders>
            <w:shd w:val="clear" w:color="000000" w:fill="FFFFFF"/>
            <w:noWrap/>
            <w:hideMark/>
          </w:tcPr>
          <w:p w14:paraId="7136A2F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581720D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9737F87" w14:textId="77777777" w:rsidTr="00CF1C1E">
        <w:trPr>
          <w:trHeight w:val="20"/>
        </w:trPr>
        <w:tc>
          <w:tcPr>
            <w:tcW w:w="623" w:type="pct"/>
            <w:tcBorders>
              <w:top w:val="nil"/>
              <w:left w:val="nil"/>
              <w:bottom w:val="nil"/>
              <w:right w:val="nil"/>
            </w:tcBorders>
            <w:shd w:val="clear" w:color="000000" w:fill="FFFFFF"/>
            <w:noWrap/>
            <w:hideMark/>
          </w:tcPr>
          <w:p w14:paraId="4D92A0E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0D330E5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7AB9EC5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≤OTP (2,8±1,6) (%)</w:t>
            </w:r>
          </w:p>
        </w:tc>
        <w:tc>
          <w:tcPr>
            <w:tcW w:w="195" w:type="pct"/>
            <w:gridSpan w:val="2"/>
            <w:tcBorders>
              <w:top w:val="nil"/>
              <w:left w:val="nil"/>
              <w:bottom w:val="nil"/>
              <w:right w:val="nil"/>
            </w:tcBorders>
            <w:shd w:val="clear" w:color="000000" w:fill="FFFFFF"/>
            <w:noWrap/>
            <w:hideMark/>
          </w:tcPr>
          <w:p w14:paraId="49AC52B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nil"/>
              <w:left w:val="nil"/>
              <w:bottom w:val="nil"/>
              <w:right w:val="nil"/>
            </w:tcBorders>
            <w:shd w:val="clear" w:color="000000" w:fill="FFFFFF"/>
            <w:noWrap/>
            <w:hideMark/>
          </w:tcPr>
          <w:p w14:paraId="72EE2E9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367E373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41,5</w:t>
            </w:r>
          </w:p>
        </w:tc>
        <w:tc>
          <w:tcPr>
            <w:tcW w:w="576" w:type="pct"/>
            <w:gridSpan w:val="2"/>
            <w:tcBorders>
              <w:top w:val="nil"/>
              <w:left w:val="nil"/>
              <w:bottom w:val="nil"/>
              <w:right w:val="nil"/>
            </w:tcBorders>
            <w:shd w:val="clear" w:color="000000" w:fill="FFFFFF"/>
            <w:noWrap/>
            <w:hideMark/>
          </w:tcPr>
          <w:p w14:paraId="2319033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(51/123)</w:t>
            </w:r>
          </w:p>
        </w:tc>
        <w:tc>
          <w:tcPr>
            <w:tcW w:w="509" w:type="pct"/>
            <w:tcBorders>
              <w:top w:val="nil"/>
              <w:left w:val="nil"/>
              <w:bottom w:val="nil"/>
              <w:right w:val="nil"/>
            </w:tcBorders>
            <w:shd w:val="clear" w:color="000000" w:fill="FFFFFF"/>
            <w:noWrap/>
            <w:hideMark/>
          </w:tcPr>
          <w:p w14:paraId="119DEED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72E1547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16B95552" w14:textId="77777777" w:rsidTr="00CF1C1E">
        <w:trPr>
          <w:trHeight w:val="20"/>
        </w:trPr>
        <w:tc>
          <w:tcPr>
            <w:tcW w:w="623" w:type="pct"/>
            <w:tcBorders>
              <w:top w:val="nil"/>
              <w:left w:val="nil"/>
              <w:bottom w:val="nil"/>
              <w:right w:val="nil"/>
            </w:tcBorders>
            <w:shd w:val="clear" w:color="000000" w:fill="FFFFFF"/>
            <w:noWrap/>
            <w:hideMark/>
          </w:tcPr>
          <w:p w14:paraId="6EF02D6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0F0A3CE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16CE5EC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↓≥2 (%)</w:t>
            </w:r>
          </w:p>
        </w:tc>
        <w:tc>
          <w:tcPr>
            <w:tcW w:w="195" w:type="pct"/>
            <w:gridSpan w:val="2"/>
            <w:tcBorders>
              <w:top w:val="nil"/>
              <w:left w:val="nil"/>
              <w:bottom w:val="nil"/>
              <w:right w:val="nil"/>
            </w:tcBorders>
            <w:shd w:val="clear" w:color="000000" w:fill="FFFFFF"/>
            <w:noWrap/>
            <w:hideMark/>
          </w:tcPr>
          <w:p w14:paraId="0616C65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nil"/>
              <w:left w:val="nil"/>
              <w:bottom w:val="nil"/>
              <w:right w:val="nil"/>
            </w:tcBorders>
            <w:shd w:val="clear" w:color="000000" w:fill="FFFFFF"/>
            <w:noWrap/>
            <w:hideMark/>
          </w:tcPr>
          <w:p w14:paraId="32C4E85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4711B2B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63,4</w:t>
            </w:r>
          </w:p>
        </w:tc>
        <w:tc>
          <w:tcPr>
            <w:tcW w:w="576" w:type="pct"/>
            <w:gridSpan w:val="2"/>
            <w:tcBorders>
              <w:top w:val="nil"/>
              <w:left w:val="nil"/>
              <w:bottom w:val="nil"/>
              <w:right w:val="nil"/>
            </w:tcBorders>
            <w:shd w:val="clear" w:color="000000" w:fill="FFFFFF"/>
            <w:noWrap/>
            <w:hideMark/>
          </w:tcPr>
          <w:p w14:paraId="0D02B66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(78/123)</w:t>
            </w:r>
          </w:p>
        </w:tc>
        <w:tc>
          <w:tcPr>
            <w:tcW w:w="509" w:type="pct"/>
            <w:tcBorders>
              <w:top w:val="nil"/>
              <w:left w:val="nil"/>
              <w:bottom w:val="nil"/>
              <w:right w:val="nil"/>
            </w:tcBorders>
            <w:shd w:val="clear" w:color="000000" w:fill="FFFFFF"/>
            <w:noWrap/>
            <w:hideMark/>
          </w:tcPr>
          <w:p w14:paraId="3C1D758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51326E2B"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3F948DD" w14:textId="77777777" w:rsidTr="00CF1C1E">
        <w:trPr>
          <w:trHeight w:val="20"/>
        </w:trPr>
        <w:tc>
          <w:tcPr>
            <w:tcW w:w="623" w:type="pct"/>
            <w:tcBorders>
              <w:top w:val="nil"/>
              <w:left w:val="nil"/>
              <w:bottom w:val="nil"/>
              <w:right w:val="nil"/>
            </w:tcBorders>
            <w:shd w:val="clear" w:color="000000" w:fill="FFFFFF"/>
            <w:noWrap/>
            <w:hideMark/>
          </w:tcPr>
          <w:p w14:paraId="5F0ADB4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3E8AAD8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6930B8A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↓&gt;30 % (%)</w:t>
            </w:r>
          </w:p>
        </w:tc>
        <w:tc>
          <w:tcPr>
            <w:tcW w:w="195" w:type="pct"/>
            <w:gridSpan w:val="2"/>
            <w:tcBorders>
              <w:top w:val="nil"/>
              <w:left w:val="nil"/>
              <w:bottom w:val="nil"/>
              <w:right w:val="nil"/>
            </w:tcBorders>
            <w:shd w:val="clear" w:color="000000" w:fill="FFFFFF"/>
            <w:noWrap/>
            <w:hideMark/>
          </w:tcPr>
          <w:p w14:paraId="0D282AD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nil"/>
              <w:left w:val="nil"/>
              <w:bottom w:val="nil"/>
              <w:right w:val="nil"/>
            </w:tcBorders>
            <w:shd w:val="clear" w:color="000000" w:fill="FFFFFF"/>
            <w:noWrap/>
            <w:hideMark/>
          </w:tcPr>
          <w:p w14:paraId="58FF797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5BE335B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58,5</w:t>
            </w:r>
          </w:p>
        </w:tc>
        <w:tc>
          <w:tcPr>
            <w:tcW w:w="576" w:type="pct"/>
            <w:gridSpan w:val="2"/>
            <w:tcBorders>
              <w:top w:val="nil"/>
              <w:left w:val="nil"/>
              <w:bottom w:val="nil"/>
              <w:right w:val="nil"/>
            </w:tcBorders>
            <w:shd w:val="clear" w:color="000000" w:fill="FFFFFF"/>
            <w:noWrap/>
            <w:hideMark/>
          </w:tcPr>
          <w:p w14:paraId="368FF6B5"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(72/123)</w:t>
            </w:r>
          </w:p>
        </w:tc>
        <w:tc>
          <w:tcPr>
            <w:tcW w:w="509" w:type="pct"/>
            <w:tcBorders>
              <w:top w:val="nil"/>
              <w:left w:val="nil"/>
              <w:bottom w:val="nil"/>
              <w:right w:val="nil"/>
            </w:tcBorders>
            <w:shd w:val="clear" w:color="000000" w:fill="FFFFFF"/>
            <w:noWrap/>
            <w:hideMark/>
          </w:tcPr>
          <w:p w14:paraId="4BF8600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128A0548"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5A79C2B" w14:textId="77777777" w:rsidTr="00CF1C1E">
        <w:trPr>
          <w:trHeight w:val="20"/>
        </w:trPr>
        <w:tc>
          <w:tcPr>
            <w:tcW w:w="623" w:type="pct"/>
            <w:tcBorders>
              <w:top w:val="nil"/>
              <w:left w:val="nil"/>
              <w:bottom w:val="nil"/>
              <w:right w:val="nil"/>
            </w:tcBorders>
            <w:shd w:val="clear" w:color="000000" w:fill="FFFFFF"/>
            <w:noWrap/>
            <w:hideMark/>
          </w:tcPr>
          <w:p w14:paraId="1D6D187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nil"/>
              <w:right w:val="nil"/>
            </w:tcBorders>
            <w:shd w:val="clear" w:color="000000" w:fill="FFFFFF"/>
            <w:noWrap/>
            <w:hideMark/>
          </w:tcPr>
          <w:p w14:paraId="7D510A7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nil"/>
              <w:right w:val="nil"/>
            </w:tcBorders>
            <w:shd w:val="clear" w:color="000000" w:fill="FFFFFF"/>
            <w:noWrap/>
            <w:hideMark/>
          </w:tcPr>
          <w:p w14:paraId="290C352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↓&gt;50 % (%)</w:t>
            </w:r>
          </w:p>
        </w:tc>
        <w:tc>
          <w:tcPr>
            <w:tcW w:w="195" w:type="pct"/>
            <w:gridSpan w:val="2"/>
            <w:tcBorders>
              <w:top w:val="nil"/>
              <w:left w:val="nil"/>
              <w:bottom w:val="nil"/>
              <w:right w:val="nil"/>
            </w:tcBorders>
            <w:shd w:val="clear" w:color="000000" w:fill="FFFFFF"/>
            <w:noWrap/>
            <w:hideMark/>
          </w:tcPr>
          <w:p w14:paraId="545FE79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nil"/>
              <w:left w:val="nil"/>
              <w:bottom w:val="nil"/>
              <w:right w:val="nil"/>
            </w:tcBorders>
            <w:shd w:val="clear" w:color="000000" w:fill="FFFFFF"/>
            <w:noWrap/>
            <w:hideMark/>
          </w:tcPr>
          <w:p w14:paraId="7E45790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bottom w:val="nil"/>
              <w:right w:val="nil"/>
            </w:tcBorders>
            <w:shd w:val="clear" w:color="000000" w:fill="FFFFFF"/>
            <w:noWrap/>
            <w:hideMark/>
          </w:tcPr>
          <w:p w14:paraId="4A41F41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33,3</w:t>
            </w:r>
          </w:p>
        </w:tc>
        <w:tc>
          <w:tcPr>
            <w:tcW w:w="576" w:type="pct"/>
            <w:gridSpan w:val="2"/>
            <w:tcBorders>
              <w:top w:val="nil"/>
              <w:left w:val="nil"/>
              <w:bottom w:val="nil"/>
              <w:right w:val="nil"/>
            </w:tcBorders>
            <w:shd w:val="clear" w:color="000000" w:fill="FFFFFF"/>
            <w:noWrap/>
            <w:hideMark/>
          </w:tcPr>
          <w:p w14:paraId="5F3CEBE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(41/123)</w:t>
            </w:r>
          </w:p>
        </w:tc>
        <w:tc>
          <w:tcPr>
            <w:tcW w:w="509" w:type="pct"/>
            <w:tcBorders>
              <w:top w:val="nil"/>
              <w:left w:val="nil"/>
              <w:bottom w:val="nil"/>
              <w:right w:val="nil"/>
            </w:tcBorders>
            <w:shd w:val="clear" w:color="000000" w:fill="FFFFFF"/>
            <w:noWrap/>
            <w:hideMark/>
          </w:tcPr>
          <w:p w14:paraId="3F32811D"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bottom w:val="nil"/>
              <w:right w:val="nil"/>
            </w:tcBorders>
            <w:shd w:val="clear" w:color="000000" w:fill="FFFFFF"/>
            <w:noWrap/>
            <w:hideMark/>
          </w:tcPr>
          <w:p w14:paraId="0F9015F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779E04D" w14:textId="77777777" w:rsidTr="00CF1C1E">
        <w:trPr>
          <w:trHeight w:val="20"/>
        </w:trPr>
        <w:tc>
          <w:tcPr>
            <w:tcW w:w="623" w:type="pct"/>
            <w:tcBorders>
              <w:top w:val="nil"/>
              <w:left w:val="nil"/>
              <w:right w:val="nil"/>
            </w:tcBorders>
            <w:shd w:val="clear" w:color="000000" w:fill="FFFFFF"/>
            <w:noWrap/>
            <w:hideMark/>
          </w:tcPr>
          <w:p w14:paraId="2A1EE5A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right w:val="nil"/>
            </w:tcBorders>
            <w:shd w:val="clear" w:color="000000" w:fill="FFFFFF"/>
            <w:noWrap/>
            <w:hideMark/>
          </w:tcPr>
          <w:p w14:paraId="7E5C1A51"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right w:val="nil"/>
            </w:tcBorders>
            <w:shd w:val="clear" w:color="000000" w:fill="FFFFFF"/>
            <w:noWrap/>
            <w:hideMark/>
          </w:tcPr>
          <w:p w14:paraId="2E6A848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EVN-11-3d ↓&gt;70 % (%)</w:t>
            </w:r>
          </w:p>
        </w:tc>
        <w:tc>
          <w:tcPr>
            <w:tcW w:w="195" w:type="pct"/>
            <w:gridSpan w:val="2"/>
            <w:tcBorders>
              <w:top w:val="nil"/>
              <w:left w:val="nil"/>
              <w:right w:val="nil"/>
            </w:tcBorders>
            <w:shd w:val="clear" w:color="000000" w:fill="FFFFFF"/>
            <w:noWrap/>
            <w:hideMark/>
          </w:tcPr>
          <w:p w14:paraId="476BB0B9"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66" w:type="pct"/>
            <w:gridSpan w:val="2"/>
            <w:tcBorders>
              <w:top w:val="nil"/>
              <w:left w:val="nil"/>
              <w:right w:val="nil"/>
            </w:tcBorders>
            <w:shd w:val="clear" w:color="000000" w:fill="FFFFFF"/>
            <w:noWrap/>
            <w:hideMark/>
          </w:tcPr>
          <w:p w14:paraId="09677616"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74" w:type="pct"/>
            <w:tcBorders>
              <w:top w:val="nil"/>
              <w:left w:val="nil"/>
              <w:right w:val="nil"/>
            </w:tcBorders>
            <w:shd w:val="clear" w:color="000000" w:fill="FFFFFF"/>
            <w:noWrap/>
            <w:hideMark/>
          </w:tcPr>
          <w:p w14:paraId="6129EB6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12,2</w:t>
            </w:r>
          </w:p>
        </w:tc>
        <w:tc>
          <w:tcPr>
            <w:tcW w:w="576" w:type="pct"/>
            <w:gridSpan w:val="2"/>
            <w:tcBorders>
              <w:top w:val="nil"/>
              <w:left w:val="nil"/>
              <w:right w:val="nil"/>
            </w:tcBorders>
            <w:shd w:val="clear" w:color="000000" w:fill="FFFFFF"/>
            <w:noWrap/>
            <w:hideMark/>
          </w:tcPr>
          <w:p w14:paraId="2038BE37"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(15/123)</w:t>
            </w:r>
          </w:p>
        </w:tc>
        <w:tc>
          <w:tcPr>
            <w:tcW w:w="509" w:type="pct"/>
            <w:tcBorders>
              <w:top w:val="nil"/>
              <w:left w:val="nil"/>
              <w:right w:val="nil"/>
            </w:tcBorders>
            <w:shd w:val="clear" w:color="000000" w:fill="FFFFFF"/>
            <w:noWrap/>
            <w:hideMark/>
          </w:tcPr>
          <w:p w14:paraId="3BE5F7C2"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68" w:type="pct"/>
            <w:tcBorders>
              <w:top w:val="nil"/>
              <w:left w:val="nil"/>
              <w:right w:val="nil"/>
            </w:tcBorders>
            <w:shd w:val="clear" w:color="000000" w:fill="FFFFFF"/>
            <w:noWrap/>
            <w:hideMark/>
          </w:tcPr>
          <w:p w14:paraId="005E94AA"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79AF63E" w14:textId="77777777" w:rsidTr="00CF1C1E">
        <w:trPr>
          <w:trHeight w:val="20"/>
        </w:trPr>
        <w:tc>
          <w:tcPr>
            <w:tcW w:w="623" w:type="pct"/>
            <w:tcBorders>
              <w:top w:val="nil"/>
              <w:left w:val="nil"/>
              <w:bottom w:val="single" w:sz="4" w:space="0" w:color="auto"/>
              <w:right w:val="nil"/>
            </w:tcBorders>
            <w:shd w:val="clear" w:color="000000" w:fill="FFFFFF"/>
            <w:noWrap/>
            <w:hideMark/>
          </w:tcPr>
          <w:p w14:paraId="299EB9B3"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82" w:type="pct"/>
            <w:tcBorders>
              <w:top w:val="nil"/>
              <w:left w:val="nil"/>
              <w:bottom w:val="single" w:sz="4" w:space="0" w:color="auto"/>
              <w:right w:val="nil"/>
            </w:tcBorders>
            <w:shd w:val="clear" w:color="000000" w:fill="FFFFFF"/>
            <w:noWrap/>
            <w:hideMark/>
          </w:tcPr>
          <w:p w14:paraId="4946D41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207" w:type="pct"/>
            <w:tcBorders>
              <w:top w:val="nil"/>
              <w:left w:val="nil"/>
              <w:bottom w:val="single" w:sz="4" w:space="0" w:color="auto"/>
              <w:right w:val="nil"/>
            </w:tcBorders>
            <w:shd w:val="clear" w:color="000000" w:fill="FFFFFF"/>
            <w:noWrap/>
            <w:hideMark/>
          </w:tcPr>
          <w:p w14:paraId="3D42EB1E"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Incidencia de dolor intercurrente</w:t>
            </w:r>
          </w:p>
        </w:tc>
        <w:tc>
          <w:tcPr>
            <w:tcW w:w="195" w:type="pct"/>
            <w:gridSpan w:val="2"/>
            <w:tcBorders>
              <w:top w:val="nil"/>
              <w:left w:val="nil"/>
              <w:bottom w:val="single" w:sz="4" w:space="0" w:color="auto"/>
              <w:right w:val="nil"/>
            </w:tcBorders>
            <w:shd w:val="clear" w:color="000000" w:fill="FFFFFF"/>
            <w:noWrap/>
            <w:hideMark/>
          </w:tcPr>
          <w:p w14:paraId="4B42AE4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35,8</w:t>
            </w:r>
          </w:p>
        </w:tc>
        <w:tc>
          <w:tcPr>
            <w:tcW w:w="466" w:type="pct"/>
            <w:gridSpan w:val="2"/>
            <w:tcBorders>
              <w:top w:val="nil"/>
              <w:left w:val="nil"/>
              <w:bottom w:val="single" w:sz="4" w:space="0" w:color="auto"/>
              <w:right w:val="nil"/>
            </w:tcBorders>
            <w:shd w:val="clear" w:color="000000" w:fill="FFFFFF"/>
            <w:noWrap/>
            <w:hideMark/>
          </w:tcPr>
          <w:p w14:paraId="58256FA0"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44</w:t>
            </w:r>
            <w:r w:rsidRPr="00367BEC">
              <w:rPr>
                <w:rFonts w:ascii="Times New Roman" w:hAnsi="Times New Roman"/>
                <w:color w:val="000000"/>
                <w:sz w:val="16"/>
              </w:rPr>
              <w:t>/123)</w:t>
            </w:r>
          </w:p>
        </w:tc>
        <w:tc>
          <w:tcPr>
            <w:tcW w:w="174" w:type="pct"/>
            <w:tcBorders>
              <w:top w:val="nil"/>
              <w:left w:val="nil"/>
              <w:bottom w:val="single" w:sz="4" w:space="0" w:color="auto"/>
              <w:right w:val="nil"/>
            </w:tcBorders>
            <w:shd w:val="clear" w:color="000000" w:fill="FFFFFF"/>
            <w:noWrap/>
            <w:hideMark/>
          </w:tcPr>
          <w:p w14:paraId="2F383B0C"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27,6</w:t>
            </w:r>
          </w:p>
        </w:tc>
        <w:tc>
          <w:tcPr>
            <w:tcW w:w="576" w:type="pct"/>
            <w:gridSpan w:val="2"/>
            <w:tcBorders>
              <w:top w:val="nil"/>
              <w:left w:val="nil"/>
              <w:bottom w:val="single" w:sz="4" w:space="0" w:color="auto"/>
              <w:right w:val="nil"/>
            </w:tcBorders>
            <w:shd w:val="clear" w:color="000000" w:fill="FFFFFF"/>
            <w:noWrap/>
            <w:hideMark/>
          </w:tcPr>
          <w:p w14:paraId="1B3E00BF"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34</w:t>
            </w:r>
            <w:r w:rsidRPr="00367BEC">
              <w:rPr>
                <w:rFonts w:ascii="Times New Roman" w:hAnsi="Times New Roman"/>
                <w:color w:val="000000"/>
                <w:sz w:val="16"/>
              </w:rPr>
              <w:t>/123)</w:t>
            </w:r>
          </w:p>
        </w:tc>
        <w:tc>
          <w:tcPr>
            <w:tcW w:w="509" w:type="pct"/>
            <w:tcBorders>
              <w:top w:val="nil"/>
              <w:left w:val="nil"/>
              <w:bottom w:val="single" w:sz="4" w:space="0" w:color="auto"/>
              <w:right w:val="nil"/>
            </w:tcBorders>
            <w:shd w:val="clear" w:color="000000" w:fill="FFFFFF"/>
            <w:noWrap/>
            <w:hideMark/>
          </w:tcPr>
          <w:p w14:paraId="34AF5A82" w14:textId="77777777" w:rsidR="002E4D99" w:rsidRPr="00367BEC" w:rsidRDefault="002E4D99" w:rsidP="00CF1C1E">
            <w:pPr>
              <w:spacing w:after="0" w:line="240" w:lineRule="auto"/>
              <w:jc w:val="both"/>
              <w:rPr>
                <w:rFonts w:ascii="Times New Roman" w:eastAsia="Times New Roman" w:hAnsi="Times New Roman" w:cs="Times New Roman"/>
                <w:i/>
                <w:iCs/>
                <w:color w:val="000000"/>
                <w:sz w:val="16"/>
                <w:szCs w:val="16"/>
              </w:rPr>
            </w:pPr>
            <w:r w:rsidRPr="00367BEC">
              <w:rPr>
                <w:rFonts w:ascii="Times New Roman" w:hAnsi="Times New Roman"/>
                <w:i/>
                <w:color w:val="000000"/>
                <w:sz w:val="16"/>
              </w:rPr>
              <w:t>−8,2</w:t>
            </w:r>
          </w:p>
        </w:tc>
        <w:tc>
          <w:tcPr>
            <w:tcW w:w="668" w:type="pct"/>
            <w:tcBorders>
              <w:top w:val="nil"/>
              <w:left w:val="nil"/>
              <w:bottom w:val="single" w:sz="4" w:space="0" w:color="auto"/>
              <w:right w:val="nil"/>
            </w:tcBorders>
            <w:shd w:val="clear" w:color="000000" w:fill="FFFFFF"/>
            <w:noWrap/>
            <w:hideMark/>
          </w:tcPr>
          <w:p w14:paraId="462FECC4" w14:textId="77777777" w:rsidR="002E4D99" w:rsidRPr="00367BEC" w:rsidRDefault="002E4D99" w:rsidP="00CF1C1E">
            <w:pPr>
              <w:spacing w:after="0" w:line="240" w:lineRule="auto"/>
              <w:jc w:val="both"/>
              <w:rPr>
                <w:rFonts w:ascii="Times New Roman" w:eastAsia="Times New Roman" w:hAnsi="Times New Roman" w:cs="Times New Roman"/>
                <w:color w:val="000000"/>
                <w:sz w:val="16"/>
                <w:szCs w:val="16"/>
              </w:rPr>
            </w:pPr>
            <w:r w:rsidRPr="00367BEC">
              <w:rPr>
                <w:rFonts w:ascii="Times New Roman" w:hAnsi="Times New Roman"/>
                <w:color w:val="000000"/>
                <w:sz w:val="16"/>
              </w:rPr>
              <w:t>−22,9</w:t>
            </w:r>
          </w:p>
        </w:tc>
      </w:tr>
    </w:tbl>
    <w:p w14:paraId="4EE57699" w14:textId="77777777" w:rsidR="002E4D99" w:rsidRPr="00367BEC" w:rsidRDefault="002E4D99" w:rsidP="002E4D99">
      <w:pPr>
        <w:spacing w:after="0" w:line="240" w:lineRule="auto"/>
        <w:ind w:right="-1984"/>
        <w:jc w:val="both"/>
        <w:rPr>
          <w:rFonts w:ascii="Times New Roman" w:hAnsi="Times New Roman" w:cs="Times New Roman"/>
          <w:b/>
          <w:sz w:val="16"/>
          <w:szCs w:val="16"/>
        </w:rPr>
      </w:pPr>
    </w:p>
    <w:p w14:paraId="5403AFC3" w14:textId="75226EF7" w:rsidR="002E4D99" w:rsidRPr="00367BEC" w:rsidRDefault="002E4D99" w:rsidP="002E4D99">
      <w:pPr>
        <w:spacing w:after="0" w:line="240" w:lineRule="auto"/>
        <w:ind w:right="-221"/>
        <w:jc w:val="both"/>
        <w:rPr>
          <w:rFonts w:ascii="Times New Roman" w:hAnsi="Times New Roman" w:cs="Times New Roman"/>
          <w:bCs/>
          <w:sz w:val="16"/>
          <w:szCs w:val="16"/>
        </w:rPr>
      </w:pPr>
      <w:r w:rsidRPr="00367BEC">
        <w:rPr>
          <w:rFonts w:ascii="Times New Roman" w:hAnsi="Times New Roman"/>
          <w:b/>
          <w:sz w:val="16"/>
        </w:rPr>
        <w:t>Abreviaturas:</w:t>
      </w:r>
      <w:r w:rsidRPr="00367BEC">
        <w:rPr>
          <w:rFonts w:ascii="Times New Roman" w:hAnsi="Times New Roman"/>
          <w:sz w:val="16"/>
        </w:rPr>
        <w:t xml:space="preserve"> d (día), IILUM (Índice de Intensidad de la lumbalgia), m (mes), EVN (escala de valoración numérica), OXN (oxicodona/naloxona), PR (</w:t>
      </w:r>
      <w:r w:rsidR="00784720">
        <w:rPr>
          <w:rFonts w:ascii="Times New Roman" w:hAnsi="Times New Roman"/>
          <w:sz w:val="16"/>
        </w:rPr>
        <w:t>liberación prolongada</w:t>
      </w:r>
      <w:r w:rsidRPr="00367BEC">
        <w:rPr>
          <w:rFonts w:ascii="Times New Roman" w:hAnsi="Times New Roman"/>
          <w:sz w:val="16"/>
        </w:rPr>
        <w:t xml:space="preserve">), TAP (tapentadol), OTP (objetivo terapéutico personalizado), </w:t>
      </w:r>
      <w:proofErr w:type="spellStart"/>
      <w:r w:rsidRPr="00367BEC">
        <w:rPr>
          <w:rFonts w:ascii="Times New Roman" w:hAnsi="Times New Roman"/>
          <w:sz w:val="16"/>
        </w:rPr>
        <w:t>um</w:t>
      </w:r>
      <w:proofErr w:type="spellEnd"/>
      <w:r w:rsidRPr="00367BEC">
        <w:rPr>
          <w:rFonts w:ascii="Times New Roman" w:hAnsi="Times New Roman"/>
          <w:sz w:val="16"/>
        </w:rPr>
        <w:t>-PEA (</w:t>
      </w:r>
      <w:proofErr w:type="spellStart"/>
      <w:r w:rsidRPr="00367BEC">
        <w:rPr>
          <w:rFonts w:ascii="Times New Roman" w:hAnsi="Times New Roman"/>
          <w:sz w:val="16"/>
        </w:rPr>
        <w:t>palmitoiletanolamida</w:t>
      </w:r>
      <w:proofErr w:type="spellEnd"/>
      <w:r w:rsidRPr="00367BEC">
        <w:rPr>
          <w:rFonts w:ascii="Times New Roman" w:hAnsi="Times New Roman"/>
          <w:sz w:val="16"/>
        </w:rPr>
        <w:t xml:space="preserve"> </w:t>
      </w:r>
      <w:proofErr w:type="spellStart"/>
      <w:r w:rsidRPr="00367BEC">
        <w:rPr>
          <w:rFonts w:ascii="Times New Roman" w:hAnsi="Times New Roman"/>
          <w:sz w:val="16"/>
        </w:rPr>
        <w:t>ultramicronizada</w:t>
      </w:r>
      <w:proofErr w:type="spellEnd"/>
      <w:r w:rsidRPr="00367BEC">
        <w:rPr>
          <w:rFonts w:ascii="Times New Roman" w:hAnsi="Times New Roman"/>
          <w:sz w:val="16"/>
        </w:rPr>
        <w:t xml:space="preserve">); EVA (escala visual analógica); </w:t>
      </w:r>
      <w:r w:rsidRPr="00367BEC">
        <w:rPr>
          <w:rFonts w:ascii="Times New Roman" w:hAnsi="Times New Roman"/>
          <w:b/>
          <w:color w:val="000000"/>
          <w:sz w:val="20"/>
          <w:vertAlign w:val="superscript"/>
        </w:rPr>
        <w:t>b</w:t>
      </w:r>
      <w:r w:rsidRPr="00367BEC">
        <w:rPr>
          <w:rFonts w:ascii="Times New Roman" w:hAnsi="Times New Roman"/>
          <w:color w:val="000000"/>
          <w:sz w:val="16"/>
        </w:rPr>
        <w:t xml:space="preserve"> cohorte con tratamiento previo con opioides potentes; los números en </w:t>
      </w:r>
      <w:r w:rsidRPr="00367BEC">
        <w:rPr>
          <w:rFonts w:ascii="Times New Roman" w:hAnsi="Times New Roman"/>
          <w:i/>
          <w:color w:val="000000"/>
          <w:sz w:val="16"/>
        </w:rPr>
        <w:t>cursiva</w:t>
      </w:r>
      <w:r w:rsidRPr="00367BEC">
        <w:rPr>
          <w:rFonts w:ascii="Times New Roman" w:hAnsi="Times New Roman"/>
          <w:color w:val="000000"/>
          <w:sz w:val="16"/>
        </w:rPr>
        <w:t xml:space="preserve"> se han estimado a partir de datos proporcionados en el manuscrito;</w:t>
      </w:r>
      <w:r w:rsidRPr="00367BEC">
        <w:rPr>
          <w:rFonts w:ascii="Times New Roman" w:hAnsi="Times New Roman"/>
          <w:sz w:val="16"/>
        </w:rPr>
        <w:t xml:space="preserve"> </w:t>
      </w:r>
      <w:r w:rsidRPr="00367BEC">
        <w:rPr>
          <w:rFonts w:ascii="Times New Roman" w:hAnsi="Times New Roman"/>
          <w:color w:val="000000"/>
          <w:sz w:val="16"/>
        </w:rPr>
        <w:t xml:space="preserve">las diferencias entre cohortes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r w:rsidRPr="00367BEC">
        <w:rPr>
          <w:rFonts w:ascii="Times New Roman" w:hAnsi="Times New Roman"/>
          <w:b/>
          <w:color w:val="000000"/>
          <w:sz w:val="16"/>
          <w:vertAlign w:val="superscript"/>
        </w:rPr>
        <w:t>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r w:rsidRPr="00367BEC">
        <w:rPr>
          <w:rFonts w:ascii="Times New Roman" w:hAnsi="Times New Roman"/>
          <w:b/>
          <w:color w:val="000000"/>
          <w:sz w:val="16"/>
          <w:vertAlign w:val="superscript"/>
        </w:rPr>
        <w:t>III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0,001), las diferencias </w:t>
      </w:r>
      <w:proofErr w:type="spellStart"/>
      <w:r w:rsidRPr="00367BEC">
        <w:rPr>
          <w:rFonts w:ascii="Times New Roman" w:hAnsi="Times New Roman"/>
          <w:color w:val="000000"/>
          <w:sz w:val="16"/>
        </w:rPr>
        <w:t>intracohorte</w:t>
      </w:r>
      <w:proofErr w:type="spellEnd"/>
      <w:r w:rsidRPr="00367BEC">
        <w:rPr>
          <w:rFonts w:ascii="Times New Roman" w:hAnsi="Times New Roman"/>
          <w:color w:val="000000"/>
          <w:sz w:val="16"/>
        </w:rPr>
        <w:t xml:space="preserve">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proofErr w:type="spellStart"/>
      <w:r w:rsidRPr="00367BEC">
        <w:rPr>
          <w:rFonts w:ascii="Times New Roman" w:hAnsi="Times New Roman"/>
          <w:b/>
          <w:color w:val="000000"/>
          <w:sz w:val="16"/>
          <w:vertAlign w:val="superscript"/>
        </w:rPr>
        <w:t>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proofErr w:type="spellStart"/>
      <w:r w:rsidRPr="00367BEC">
        <w:rPr>
          <w:rFonts w:ascii="Times New Roman" w:hAnsi="Times New Roman"/>
          <w:b/>
          <w:color w:val="000000"/>
          <w:sz w:val="16"/>
          <w:vertAlign w:val="superscript"/>
        </w:rPr>
        <w:t>iii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&lt; 0,001).</w:t>
      </w:r>
    </w:p>
    <w:p w14:paraId="2C7AA010" w14:textId="77777777" w:rsidR="002E4D99" w:rsidRPr="00367BEC" w:rsidRDefault="002E4D99" w:rsidP="002E4D99">
      <w:pPr>
        <w:rPr>
          <w:rFonts w:ascii="Times New Roman" w:hAnsi="Times New Roman" w:cs="Times New Roman"/>
          <w:b/>
        </w:rPr>
      </w:pPr>
      <w:r w:rsidRPr="00367BEC">
        <w:br w:type="page"/>
      </w:r>
      <w:r w:rsidRPr="00367BEC">
        <w:rPr>
          <w:rFonts w:ascii="Times New Roman" w:hAnsi="Times New Roman"/>
          <w:b/>
        </w:rPr>
        <w:lastRenderedPageBreak/>
        <w:t xml:space="preserve">Tabla 7. </w:t>
      </w:r>
      <w:r w:rsidRPr="00367BEC">
        <w:rPr>
          <w:rFonts w:ascii="Times New Roman" w:hAnsi="Times New Roman"/>
        </w:rPr>
        <w:t>Descripción de las herramientas de evaluación del dolor neuropático y parámetros de respuesta</w:t>
      </w:r>
    </w:p>
    <w:p w14:paraId="775B3F94"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11090" w:type="dxa"/>
        <w:tblCellMar>
          <w:left w:w="70" w:type="dxa"/>
          <w:right w:w="70" w:type="dxa"/>
        </w:tblCellMar>
        <w:tblLook w:val="04A0" w:firstRow="1" w:lastRow="0" w:firstColumn="1" w:lastColumn="0" w:noHBand="0" w:noVBand="1"/>
      </w:tblPr>
      <w:tblGrid>
        <w:gridCol w:w="1480"/>
        <w:gridCol w:w="9610"/>
      </w:tblGrid>
      <w:tr w:rsidR="002E4D99" w:rsidRPr="00367BEC" w14:paraId="34C53AD3" w14:textId="77777777" w:rsidTr="00CF1C1E">
        <w:trPr>
          <w:trHeight w:val="283"/>
        </w:trPr>
        <w:tc>
          <w:tcPr>
            <w:tcW w:w="1480" w:type="dxa"/>
            <w:tcBorders>
              <w:top w:val="nil"/>
              <w:left w:val="nil"/>
              <w:bottom w:val="nil"/>
              <w:right w:val="nil"/>
            </w:tcBorders>
            <w:shd w:val="clear" w:color="000000" w:fill="FFFFFF"/>
            <w:noWrap/>
            <w:vAlign w:val="center"/>
            <w:hideMark/>
          </w:tcPr>
          <w:p w14:paraId="02A312B2"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Herramienta</w:t>
            </w:r>
          </w:p>
        </w:tc>
        <w:tc>
          <w:tcPr>
            <w:tcW w:w="9610" w:type="dxa"/>
            <w:tcBorders>
              <w:top w:val="nil"/>
              <w:left w:val="nil"/>
              <w:bottom w:val="nil"/>
              <w:right w:val="nil"/>
            </w:tcBorders>
            <w:shd w:val="clear" w:color="000000" w:fill="FFFFFF"/>
            <w:noWrap/>
            <w:vAlign w:val="center"/>
            <w:hideMark/>
          </w:tcPr>
          <w:p w14:paraId="4510E8F1"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Definición</w:t>
            </w:r>
          </w:p>
        </w:tc>
      </w:tr>
      <w:tr w:rsidR="002E4D99" w:rsidRPr="00367BEC" w14:paraId="5C3B789E" w14:textId="77777777" w:rsidTr="00CF1C1E">
        <w:trPr>
          <w:trHeight w:val="20"/>
        </w:trPr>
        <w:tc>
          <w:tcPr>
            <w:tcW w:w="1480" w:type="dxa"/>
            <w:tcBorders>
              <w:top w:val="single" w:sz="8" w:space="0" w:color="auto"/>
              <w:left w:val="nil"/>
              <w:bottom w:val="nil"/>
              <w:right w:val="nil"/>
            </w:tcBorders>
            <w:shd w:val="clear" w:color="000000" w:fill="FFFFFF"/>
            <w:hideMark/>
          </w:tcPr>
          <w:p w14:paraId="0D6E6FE5"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DN4</w:t>
            </w:r>
          </w:p>
        </w:tc>
        <w:tc>
          <w:tcPr>
            <w:tcW w:w="9610" w:type="dxa"/>
            <w:tcBorders>
              <w:top w:val="single" w:sz="8" w:space="0" w:color="auto"/>
              <w:left w:val="nil"/>
              <w:bottom w:val="nil"/>
              <w:right w:val="nil"/>
            </w:tcBorders>
            <w:shd w:val="clear" w:color="000000" w:fill="FFFFFF"/>
            <w:hideMark/>
          </w:tcPr>
          <w:p w14:paraId="60C7635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del dolor neuropático de 0 a 10, con puntuaciones ≥4 positivas para dolor neuropático</w:t>
            </w:r>
          </w:p>
        </w:tc>
      </w:tr>
      <w:tr w:rsidR="002E4D99" w:rsidRPr="00367BEC" w14:paraId="343BEBDE" w14:textId="77777777" w:rsidTr="00CF1C1E">
        <w:trPr>
          <w:trHeight w:val="20"/>
        </w:trPr>
        <w:tc>
          <w:tcPr>
            <w:tcW w:w="1480" w:type="dxa"/>
            <w:tcBorders>
              <w:top w:val="nil"/>
              <w:left w:val="nil"/>
              <w:bottom w:val="nil"/>
              <w:right w:val="nil"/>
            </w:tcBorders>
            <w:shd w:val="clear" w:color="000000" w:fill="FFFFFF"/>
            <w:noWrap/>
            <w:vAlign w:val="bottom"/>
            <w:hideMark/>
          </w:tcPr>
          <w:p w14:paraId="708F2814"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9610" w:type="dxa"/>
            <w:tcBorders>
              <w:top w:val="nil"/>
              <w:left w:val="nil"/>
              <w:bottom w:val="nil"/>
              <w:right w:val="nil"/>
            </w:tcBorders>
            <w:shd w:val="clear" w:color="000000" w:fill="FFFFFF"/>
            <w:noWrap/>
            <w:vAlign w:val="bottom"/>
            <w:hideMark/>
          </w:tcPr>
          <w:p w14:paraId="3F0169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44658383" w14:textId="77777777" w:rsidTr="00CF1C1E">
        <w:trPr>
          <w:trHeight w:val="20"/>
        </w:trPr>
        <w:tc>
          <w:tcPr>
            <w:tcW w:w="1480" w:type="dxa"/>
            <w:tcBorders>
              <w:top w:val="nil"/>
              <w:left w:val="nil"/>
              <w:bottom w:val="nil"/>
              <w:right w:val="nil"/>
            </w:tcBorders>
            <w:shd w:val="clear" w:color="000000" w:fill="FFFFFF"/>
            <w:noWrap/>
            <w:hideMark/>
          </w:tcPr>
          <w:p w14:paraId="79D477B7"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DN4 ≥4 (%)</w:t>
            </w:r>
          </w:p>
        </w:tc>
        <w:tc>
          <w:tcPr>
            <w:tcW w:w="9610" w:type="dxa"/>
            <w:tcBorders>
              <w:top w:val="nil"/>
              <w:left w:val="nil"/>
              <w:bottom w:val="nil"/>
              <w:right w:val="nil"/>
            </w:tcBorders>
            <w:shd w:val="clear" w:color="000000" w:fill="FFFFFF"/>
            <w:noWrap/>
            <w:hideMark/>
          </w:tcPr>
          <w:p w14:paraId="6701A00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puntuación de ≥4 en DN4</w:t>
            </w:r>
          </w:p>
        </w:tc>
      </w:tr>
      <w:tr w:rsidR="002E4D99" w:rsidRPr="00367BEC" w14:paraId="77BC1E22" w14:textId="77777777" w:rsidTr="00CF1C1E">
        <w:trPr>
          <w:trHeight w:val="20"/>
        </w:trPr>
        <w:tc>
          <w:tcPr>
            <w:tcW w:w="1480" w:type="dxa"/>
            <w:tcBorders>
              <w:top w:val="nil"/>
              <w:left w:val="nil"/>
              <w:right w:val="nil"/>
            </w:tcBorders>
            <w:shd w:val="clear" w:color="000000" w:fill="FFFFFF"/>
            <w:noWrap/>
            <w:hideMark/>
          </w:tcPr>
          <w:p w14:paraId="0573174E"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DN4 ↓≥1 (%)</w:t>
            </w:r>
          </w:p>
        </w:tc>
        <w:tc>
          <w:tcPr>
            <w:tcW w:w="9610" w:type="dxa"/>
            <w:tcBorders>
              <w:top w:val="nil"/>
              <w:left w:val="nil"/>
              <w:right w:val="nil"/>
            </w:tcBorders>
            <w:shd w:val="clear" w:color="000000" w:fill="FFFFFF"/>
            <w:noWrap/>
            <w:hideMark/>
          </w:tcPr>
          <w:p w14:paraId="2B51AF3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DN4 ≥1 respecto al inicio</w:t>
            </w:r>
          </w:p>
        </w:tc>
      </w:tr>
      <w:tr w:rsidR="002E4D99" w:rsidRPr="00367BEC" w14:paraId="412AA9A1" w14:textId="77777777" w:rsidTr="00CF1C1E">
        <w:trPr>
          <w:trHeight w:val="20"/>
        </w:trPr>
        <w:tc>
          <w:tcPr>
            <w:tcW w:w="1480" w:type="dxa"/>
            <w:tcBorders>
              <w:top w:val="nil"/>
              <w:left w:val="nil"/>
              <w:bottom w:val="single" w:sz="4" w:space="0" w:color="auto"/>
              <w:right w:val="nil"/>
            </w:tcBorders>
            <w:shd w:val="clear" w:color="000000" w:fill="FFFFFF"/>
            <w:noWrap/>
            <w:hideMark/>
          </w:tcPr>
          <w:p w14:paraId="06DCE4EF"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DN4 ↓≥2 (%)</w:t>
            </w:r>
          </w:p>
        </w:tc>
        <w:tc>
          <w:tcPr>
            <w:tcW w:w="9610" w:type="dxa"/>
            <w:tcBorders>
              <w:top w:val="nil"/>
              <w:left w:val="nil"/>
              <w:bottom w:val="single" w:sz="4" w:space="0" w:color="auto"/>
              <w:right w:val="nil"/>
            </w:tcBorders>
            <w:shd w:val="clear" w:color="000000" w:fill="FFFFFF"/>
            <w:noWrap/>
            <w:hideMark/>
          </w:tcPr>
          <w:p w14:paraId="63474B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DN4 ≥2 respecto al inicio</w:t>
            </w:r>
          </w:p>
        </w:tc>
      </w:tr>
      <w:tr w:rsidR="002E4D99" w:rsidRPr="00367BEC" w14:paraId="636B5BD4" w14:textId="77777777" w:rsidTr="00CF1C1E">
        <w:trPr>
          <w:trHeight w:val="20"/>
        </w:trPr>
        <w:tc>
          <w:tcPr>
            <w:tcW w:w="1480" w:type="dxa"/>
            <w:tcBorders>
              <w:top w:val="single" w:sz="4" w:space="0" w:color="auto"/>
              <w:left w:val="nil"/>
              <w:bottom w:val="nil"/>
              <w:right w:val="nil"/>
            </w:tcBorders>
            <w:shd w:val="clear" w:color="000000" w:fill="FFFFFF"/>
            <w:noWrap/>
          </w:tcPr>
          <w:p w14:paraId="1CBA68EC"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PDQ</w:t>
            </w:r>
            <w:r w:rsidRPr="00367BEC">
              <w:rPr>
                <w:rFonts w:ascii="Times New Roman" w:hAnsi="Times New Roman"/>
                <w:b/>
                <w:color w:val="000000"/>
                <w:sz w:val="20"/>
                <w:vertAlign w:val="subscript"/>
              </w:rPr>
              <w:t>7</w:t>
            </w:r>
          </w:p>
        </w:tc>
        <w:tc>
          <w:tcPr>
            <w:tcW w:w="9610" w:type="dxa"/>
            <w:tcBorders>
              <w:top w:val="single" w:sz="4" w:space="0" w:color="auto"/>
              <w:left w:val="nil"/>
              <w:bottom w:val="nil"/>
              <w:right w:val="nil"/>
            </w:tcBorders>
            <w:shd w:val="clear" w:color="000000" w:fill="FFFFFF"/>
            <w:noWrap/>
          </w:tcPr>
          <w:p w14:paraId="3657DAA2" w14:textId="4507FAD5"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Versión de siete apartados modificada del cuestionario </w:t>
            </w:r>
            <w:proofErr w:type="spellStart"/>
            <w:r w:rsidRPr="00367BEC">
              <w:rPr>
                <w:rFonts w:ascii="Times New Roman" w:hAnsi="Times New Roman"/>
                <w:color w:val="000000"/>
                <w:sz w:val="20"/>
              </w:rPr>
              <w:t>painDetect</w:t>
            </w:r>
            <w:proofErr w:type="spellEnd"/>
            <w:r w:rsidRPr="00367BEC">
              <w:rPr>
                <w:rFonts w:ascii="Times New Roman" w:hAnsi="Times New Roman"/>
                <w:color w:val="000000"/>
                <w:sz w:val="20"/>
              </w:rPr>
              <w:t xml:space="preserve">, con puntuaciones de 19 a 35 positivas para </w:t>
            </w:r>
            <w:r w:rsidR="00B201A8">
              <w:rPr>
                <w:rFonts w:ascii="Times New Roman" w:hAnsi="Times New Roman"/>
                <w:color w:val="000000"/>
                <w:sz w:val="20"/>
              </w:rPr>
              <w:t>en</w:t>
            </w:r>
            <w:r w:rsidR="00B201A8" w:rsidRPr="00367BEC">
              <w:rPr>
                <w:rFonts w:ascii="Times New Roman" w:hAnsi="Times New Roman"/>
                <w:color w:val="000000"/>
                <w:sz w:val="20"/>
              </w:rPr>
              <w:t xml:space="preserve"> </w:t>
            </w:r>
            <w:r w:rsidRPr="00367BEC">
              <w:rPr>
                <w:rFonts w:ascii="Times New Roman" w:hAnsi="Times New Roman"/>
                <w:color w:val="000000"/>
                <w:sz w:val="20"/>
              </w:rPr>
              <w:t>dolor neuropático</w:t>
            </w:r>
          </w:p>
        </w:tc>
      </w:tr>
      <w:tr w:rsidR="002E4D99" w:rsidRPr="00367BEC" w14:paraId="262159CC" w14:textId="77777777" w:rsidTr="00CF1C1E">
        <w:trPr>
          <w:trHeight w:val="20"/>
        </w:trPr>
        <w:tc>
          <w:tcPr>
            <w:tcW w:w="1480" w:type="dxa"/>
            <w:tcBorders>
              <w:top w:val="nil"/>
              <w:left w:val="nil"/>
              <w:bottom w:val="nil"/>
              <w:right w:val="nil"/>
            </w:tcBorders>
            <w:shd w:val="clear" w:color="000000" w:fill="FFFFFF"/>
            <w:noWrap/>
            <w:vAlign w:val="bottom"/>
          </w:tcPr>
          <w:p w14:paraId="28AED232"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9610" w:type="dxa"/>
            <w:tcBorders>
              <w:top w:val="nil"/>
              <w:left w:val="nil"/>
              <w:bottom w:val="nil"/>
              <w:right w:val="nil"/>
            </w:tcBorders>
            <w:shd w:val="clear" w:color="000000" w:fill="FFFFFF"/>
            <w:noWrap/>
          </w:tcPr>
          <w:p w14:paraId="55C29D82" w14:textId="77777777" w:rsidR="002E4D99" w:rsidRPr="00367BEC" w:rsidRDefault="002E4D99" w:rsidP="00CF1C1E">
            <w:pPr>
              <w:spacing w:after="0" w:line="240" w:lineRule="auto"/>
              <w:rPr>
                <w:rFonts w:ascii="Times New Roman" w:eastAsia="Times New Roman" w:hAnsi="Times New Roman" w:cs="Times New Roman"/>
                <w:color w:val="000000"/>
                <w:sz w:val="20"/>
                <w:szCs w:val="20"/>
                <w:lang w:eastAsia="es-ES"/>
              </w:rPr>
            </w:pPr>
          </w:p>
        </w:tc>
      </w:tr>
      <w:tr w:rsidR="002E4D99" w:rsidRPr="00367BEC" w14:paraId="3E567E60" w14:textId="77777777" w:rsidTr="00CF1C1E">
        <w:trPr>
          <w:trHeight w:val="20"/>
        </w:trPr>
        <w:tc>
          <w:tcPr>
            <w:tcW w:w="1480" w:type="dxa"/>
            <w:tcBorders>
              <w:top w:val="nil"/>
              <w:left w:val="nil"/>
              <w:bottom w:val="nil"/>
              <w:right w:val="nil"/>
            </w:tcBorders>
            <w:shd w:val="clear" w:color="000000" w:fill="FFFFFF"/>
            <w:noWrap/>
          </w:tcPr>
          <w:p w14:paraId="687EAB38"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PDQ</w:t>
            </w:r>
            <w:r w:rsidRPr="00367BEC">
              <w:rPr>
                <w:rFonts w:ascii="Times New Roman" w:hAnsi="Times New Roman"/>
                <w:color w:val="000000"/>
                <w:sz w:val="20"/>
                <w:vertAlign w:val="subscript"/>
              </w:rPr>
              <w:t>7</w:t>
            </w:r>
            <w:r w:rsidRPr="00367BEC">
              <w:rPr>
                <w:rFonts w:ascii="Times New Roman" w:hAnsi="Times New Roman"/>
                <w:color w:val="000000"/>
                <w:sz w:val="20"/>
              </w:rPr>
              <w:t xml:space="preserve"> 11-18 (%)</w:t>
            </w:r>
          </w:p>
        </w:tc>
        <w:tc>
          <w:tcPr>
            <w:tcW w:w="9610" w:type="dxa"/>
            <w:tcBorders>
              <w:top w:val="nil"/>
              <w:left w:val="nil"/>
              <w:bottom w:val="nil"/>
              <w:right w:val="nil"/>
            </w:tcBorders>
            <w:shd w:val="clear" w:color="000000" w:fill="FFFFFF"/>
            <w:noWrap/>
          </w:tcPr>
          <w:p w14:paraId="5E7B617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sz w:val="20"/>
              </w:rPr>
              <w:t>Proporción de pacientes con una puntuación de 11 a 18 en PDQ</w:t>
            </w:r>
            <w:r w:rsidRPr="00367BEC">
              <w:rPr>
                <w:rFonts w:ascii="Times New Roman" w:hAnsi="Times New Roman"/>
                <w:sz w:val="20"/>
                <w:vertAlign w:val="subscript"/>
              </w:rPr>
              <w:t>7</w:t>
            </w:r>
          </w:p>
        </w:tc>
      </w:tr>
      <w:tr w:rsidR="002E4D99" w:rsidRPr="00367BEC" w14:paraId="04B93F1B" w14:textId="77777777" w:rsidTr="00CF1C1E">
        <w:trPr>
          <w:trHeight w:val="20"/>
        </w:trPr>
        <w:tc>
          <w:tcPr>
            <w:tcW w:w="1480" w:type="dxa"/>
            <w:tcBorders>
              <w:top w:val="nil"/>
              <w:left w:val="nil"/>
              <w:bottom w:val="nil"/>
              <w:right w:val="nil"/>
            </w:tcBorders>
            <w:shd w:val="clear" w:color="000000" w:fill="FFFFFF"/>
            <w:noWrap/>
          </w:tcPr>
          <w:p w14:paraId="173AFD8C"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PDQ</w:t>
            </w:r>
            <w:r w:rsidRPr="00367BEC">
              <w:rPr>
                <w:rFonts w:ascii="Times New Roman" w:hAnsi="Times New Roman"/>
                <w:color w:val="000000"/>
                <w:sz w:val="20"/>
                <w:vertAlign w:val="subscript"/>
              </w:rPr>
              <w:t>7</w:t>
            </w:r>
            <w:r w:rsidRPr="00367BEC">
              <w:rPr>
                <w:rFonts w:ascii="Times New Roman" w:hAnsi="Times New Roman"/>
                <w:color w:val="000000"/>
                <w:sz w:val="20"/>
              </w:rPr>
              <w:t xml:space="preserve"> 19-35 (%)</w:t>
            </w:r>
          </w:p>
        </w:tc>
        <w:tc>
          <w:tcPr>
            <w:tcW w:w="9610" w:type="dxa"/>
            <w:tcBorders>
              <w:top w:val="nil"/>
              <w:left w:val="nil"/>
              <w:bottom w:val="nil"/>
              <w:right w:val="nil"/>
            </w:tcBorders>
            <w:shd w:val="clear" w:color="000000" w:fill="FFFFFF"/>
            <w:noWrap/>
          </w:tcPr>
          <w:p w14:paraId="4D1DA11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sz w:val="20"/>
              </w:rPr>
              <w:t>Proporción de pacientes con una puntuación de 19 a 35 en PDQ</w:t>
            </w:r>
            <w:r w:rsidRPr="00367BEC">
              <w:rPr>
                <w:rFonts w:ascii="Times New Roman" w:hAnsi="Times New Roman"/>
                <w:sz w:val="20"/>
                <w:vertAlign w:val="subscript"/>
              </w:rPr>
              <w:t>7</w:t>
            </w:r>
          </w:p>
        </w:tc>
      </w:tr>
    </w:tbl>
    <w:p w14:paraId="51B6A32F" w14:textId="77777777" w:rsidR="002E4D99" w:rsidRPr="00367BEC" w:rsidRDefault="002E4D99" w:rsidP="002E4D99">
      <w:pPr>
        <w:spacing w:after="0" w:line="360" w:lineRule="auto"/>
        <w:jc w:val="both"/>
        <w:rPr>
          <w:rFonts w:ascii="Times New Roman" w:hAnsi="Times New Roman" w:cs="Times New Roman"/>
          <w:b/>
          <w:sz w:val="20"/>
          <w:szCs w:val="20"/>
        </w:rPr>
      </w:pPr>
    </w:p>
    <w:p w14:paraId="669F1AA3" w14:textId="77777777" w:rsidR="002E4D99" w:rsidRPr="00367BEC" w:rsidRDefault="002E4D99" w:rsidP="002E4D99">
      <w:pPr>
        <w:rPr>
          <w:rFonts w:ascii="Times New Roman" w:hAnsi="Times New Roman" w:cs="Times New Roman"/>
          <w:b/>
          <w:sz w:val="24"/>
          <w:szCs w:val="24"/>
        </w:rPr>
      </w:pPr>
      <w:r w:rsidRPr="00367BEC">
        <w:br w:type="page"/>
      </w:r>
    </w:p>
    <w:p w14:paraId="00CDD3E2"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8. </w:t>
      </w:r>
      <w:r w:rsidRPr="00367BEC">
        <w:rPr>
          <w:rFonts w:ascii="Times New Roman" w:hAnsi="Times New Roman"/>
        </w:rPr>
        <w:t>Resultados de dolor neuropático en cada estudio</w:t>
      </w:r>
    </w:p>
    <w:p w14:paraId="73463175"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14049" w:type="dxa"/>
        <w:tblCellMar>
          <w:left w:w="28" w:type="dxa"/>
          <w:right w:w="28" w:type="dxa"/>
        </w:tblCellMar>
        <w:tblLook w:val="04A0" w:firstRow="1" w:lastRow="0" w:firstColumn="1" w:lastColumn="0" w:noHBand="0" w:noVBand="1"/>
      </w:tblPr>
      <w:tblGrid>
        <w:gridCol w:w="1400"/>
        <w:gridCol w:w="897"/>
        <w:gridCol w:w="679"/>
        <w:gridCol w:w="325"/>
        <w:gridCol w:w="164"/>
        <w:gridCol w:w="884"/>
        <w:gridCol w:w="310"/>
        <w:gridCol w:w="98"/>
        <w:gridCol w:w="666"/>
        <w:gridCol w:w="1014"/>
        <w:gridCol w:w="1358"/>
        <w:gridCol w:w="973"/>
        <w:gridCol w:w="492"/>
        <w:gridCol w:w="399"/>
        <w:gridCol w:w="601"/>
        <w:gridCol w:w="489"/>
        <w:gridCol w:w="307"/>
        <w:gridCol w:w="695"/>
        <w:gridCol w:w="1023"/>
        <w:gridCol w:w="1371"/>
      </w:tblGrid>
      <w:tr w:rsidR="002E4D99" w:rsidRPr="00367BEC" w14:paraId="76B04DF8" w14:textId="77777777" w:rsidTr="00CF1C1E">
        <w:trPr>
          <w:trHeight w:val="283"/>
        </w:trPr>
        <w:tc>
          <w:tcPr>
            <w:tcW w:w="1400" w:type="dxa"/>
            <w:tcBorders>
              <w:top w:val="nil"/>
              <w:left w:val="nil"/>
              <w:bottom w:val="single" w:sz="8" w:space="0" w:color="auto"/>
              <w:right w:val="nil"/>
            </w:tcBorders>
            <w:shd w:val="clear" w:color="000000" w:fill="FFFFFF"/>
            <w:noWrap/>
            <w:vAlign w:val="center"/>
            <w:hideMark/>
          </w:tcPr>
          <w:p w14:paraId="66E443B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Referencia</w:t>
            </w:r>
          </w:p>
        </w:tc>
        <w:tc>
          <w:tcPr>
            <w:tcW w:w="897" w:type="dxa"/>
            <w:tcBorders>
              <w:top w:val="nil"/>
              <w:left w:val="nil"/>
              <w:bottom w:val="single" w:sz="8" w:space="0" w:color="auto"/>
              <w:right w:val="nil"/>
            </w:tcBorders>
            <w:shd w:val="clear" w:color="000000" w:fill="FFFFFF"/>
            <w:noWrap/>
            <w:vAlign w:val="center"/>
            <w:hideMark/>
          </w:tcPr>
          <w:p w14:paraId="5E06FD14"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Cohorte</w:t>
            </w:r>
          </w:p>
        </w:tc>
        <w:tc>
          <w:tcPr>
            <w:tcW w:w="598" w:type="dxa"/>
            <w:tcBorders>
              <w:top w:val="nil"/>
              <w:left w:val="nil"/>
              <w:bottom w:val="single" w:sz="8" w:space="0" w:color="auto"/>
              <w:right w:val="nil"/>
            </w:tcBorders>
            <w:shd w:val="clear" w:color="000000" w:fill="FFFFFF"/>
            <w:noWrap/>
            <w:vAlign w:val="center"/>
            <w:hideMark/>
          </w:tcPr>
          <w:p w14:paraId="4D27BF2F"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Prueba</w:t>
            </w:r>
          </w:p>
        </w:tc>
        <w:tc>
          <w:tcPr>
            <w:tcW w:w="1373" w:type="dxa"/>
            <w:gridSpan w:val="3"/>
            <w:tcBorders>
              <w:top w:val="nil"/>
              <w:left w:val="nil"/>
              <w:bottom w:val="single" w:sz="8" w:space="0" w:color="auto"/>
              <w:right w:val="nil"/>
            </w:tcBorders>
            <w:shd w:val="clear" w:color="000000" w:fill="FFFFFF"/>
            <w:noWrap/>
            <w:vAlign w:val="center"/>
            <w:hideMark/>
          </w:tcPr>
          <w:p w14:paraId="08DE3C87"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Puntuación inicial</w:t>
            </w:r>
          </w:p>
        </w:tc>
        <w:tc>
          <w:tcPr>
            <w:tcW w:w="1059" w:type="dxa"/>
            <w:gridSpan w:val="3"/>
            <w:tcBorders>
              <w:top w:val="nil"/>
              <w:left w:val="nil"/>
              <w:bottom w:val="single" w:sz="8" w:space="0" w:color="auto"/>
              <w:right w:val="nil"/>
            </w:tcBorders>
            <w:shd w:val="clear" w:color="000000" w:fill="FFFFFF"/>
            <w:noWrap/>
            <w:vAlign w:val="center"/>
            <w:hideMark/>
          </w:tcPr>
          <w:p w14:paraId="50C4C156"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Puntuación final</w:t>
            </w:r>
          </w:p>
        </w:tc>
        <w:tc>
          <w:tcPr>
            <w:tcW w:w="1014" w:type="dxa"/>
            <w:tcBorders>
              <w:top w:val="nil"/>
              <w:left w:val="nil"/>
              <w:bottom w:val="single" w:sz="8" w:space="0" w:color="auto"/>
              <w:right w:val="nil"/>
            </w:tcBorders>
            <w:shd w:val="clear" w:color="000000" w:fill="FFFFFF"/>
            <w:vAlign w:val="center"/>
            <w:hideMark/>
          </w:tcPr>
          <w:p w14:paraId="2739E63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absoluto</w:t>
            </w:r>
          </w:p>
        </w:tc>
        <w:tc>
          <w:tcPr>
            <w:tcW w:w="1358" w:type="dxa"/>
            <w:tcBorders>
              <w:top w:val="nil"/>
              <w:left w:val="nil"/>
              <w:bottom w:val="single" w:sz="8" w:space="0" w:color="auto"/>
              <w:right w:val="nil"/>
            </w:tcBorders>
            <w:shd w:val="clear" w:color="000000" w:fill="FFFFFF"/>
            <w:vAlign w:val="center"/>
            <w:hideMark/>
          </w:tcPr>
          <w:p w14:paraId="7341D45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relativo (%)</w:t>
            </w:r>
          </w:p>
        </w:tc>
        <w:tc>
          <w:tcPr>
            <w:tcW w:w="973" w:type="dxa"/>
            <w:tcBorders>
              <w:top w:val="nil"/>
              <w:left w:val="nil"/>
              <w:bottom w:val="single" w:sz="8" w:space="0" w:color="auto"/>
              <w:right w:val="nil"/>
            </w:tcBorders>
            <w:shd w:val="clear" w:color="000000" w:fill="FFFFFF"/>
            <w:noWrap/>
            <w:vAlign w:val="center"/>
            <w:hideMark/>
          </w:tcPr>
          <w:p w14:paraId="3F7C4AA6"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Respuesta</w:t>
            </w:r>
          </w:p>
        </w:tc>
        <w:tc>
          <w:tcPr>
            <w:tcW w:w="891" w:type="dxa"/>
            <w:gridSpan w:val="2"/>
            <w:tcBorders>
              <w:top w:val="nil"/>
              <w:left w:val="nil"/>
              <w:bottom w:val="single" w:sz="8" w:space="0" w:color="auto"/>
              <w:right w:val="nil"/>
            </w:tcBorders>
            <w:shd w:val="clear" w:color="000000" w:fill="FFFFFF"/>
            <w:noWrap/>
            <w:vAlign w:val="center"/>
            <w:hideMark/>
          </w:tcPr>
          <w:p w14:paraId="1E48A6F0"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Inicio (%)</w:t>
            </w:r>
          </w:p>
        </w:tc>
        <w:tc>
          <w:tcPr>
            <w:tcW w:w="601" w:type="dxa"/>
            <w:tcBorders>
              <w:top w:val="nil"/>
              <w:left w:val="nil"/>
              <w:bottom w:val="single" w:sz="8" w:space="0" w:color="auto"/>
              <w:right w:val="nil"/>
            </w:tcBorders>
            <w:shd w:val="clear" w:color="000000" w:fill="FFFFFF"/>
            <w:noWrap/>
            <w:vAlign w:val="center"/>
            <w:hideMark/>
          </w:tcPr>
          <w:p w14:paraId="6438F67D"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(N/n)</w:t>
            </w:r>
          </w:p>
        </w:tc>
        <w:tc>
          <w:tcPr>
            <w:tcW w:w="796" w:type="dxa"/>
            <w:gridSpan w:val="2"/>
            <w:tcBorders>
              <w:top w:val="nil"/>
              <w:left w:val="nil"/>
              <w:bottom w:val="single" w:sz="8" w:space="0" w:color="auto"/>
              <w:right w:val="nil"/>
            </w:tcBorders>
            <w:shd w:val="clear" w:color="000000" w:fill="FFFFFF"/>
            <w:noWrap/>
            <w:vAlign w:val="center"/>
            <w:hideMark/>
          </w:tcPr>
          <w:p w14:paraId="7855072D"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Final (%)</w:t>
            </w:r>
          </w:p>
        </w:tc>
        <w:tc>
          <w:tcPr>
            <w:tcW w:w="695" w:type="dxa"/>
            <w:tcBorders>
              <w:top w:val="nil"/>
              <w:left w:val="nil"/>
              <w:bottom w:val="single" w:sz="8" w:space="0" w:color="auto"/>
              <w:right w:val="nil"/>
            </w:tcBorders>
            <w:shd w:val="clear" w:color="000000" w:fill="FFFFFF"/>
            <w:noWrap/>
            <w:vAlign w:val="center"/>
            <w:hideMark/>
          </w:tcPr>
          <w:p w14:paraId="71014D85"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(N/n)</w:t>
            </w:r>
          </w:p>
        </w:tc>
        <w:tc>
          <w:tcPr>
            <w:tcW w:w="1023" w:type="dxa"/>
            <w:tcBorders>
              <w:top w:val="nil"/>
              <w:left w:val="nil"/>
              <w:bottom w:val="single" w:sz="8" w:space="0" w:color="auto"/>
              <w:right w:val="nil"/>
            </w:tcBorders>
            <w:shd w:val="clear" w:color="000000" w:fill="FFFFFF"/>
            <w:vAlign w:val="center"/>
            <w:hideMark/>
          </w:tcPr>
          <w:p w14:paraId="5A07D10A"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absoluto</w:t>
            </w:r>
          </w:p>
        </w:tc>
        <w:tc>
          <w:tcPr>
            <w:tcW w:w="1371" w:type="dxa"/>
            <w:tcBorders>
              <w:top w:val="nil"/>
              <w:left w:val="nil"/>
              <w:bottom w:val="single" w:sz="8" w:space="0" w:color="auto"/>
              <w:right w:val="nil"/>
            </w:tcBorders>
            <w:shd w:val="clear" w:color="000000" w:fill="FFFFFF"/>
            <w:vAlign w:val="center"/>
            <w:hideMark/>
          </w:tcPr>
          <w:p w14:paraId="78EB51DC"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relativo (%)</w:t>
            </w:r>
          </w:p>
        </w:tc>
      </w:tr>
      <w:tr w:rsidR="002E4D99" w:rsidRPr="00367BEC" w14:paraId="2179471C" w14:textId="77777777" w:rsidTr="00CF1C1E">
        <w:trPr>
          <w:trHeight w:val="20"/>
        </w:trPr>
        <w:tc>
          <w:tcPr>
            <w:tcW w:w="1400" w:type="dxa"/>
            <w:tcBorders>
              <w:top w:val="nil"/>
              <w:left w:val="nil"/>
              <w:bottom w:val="nil"/>
              <w:right w:val="nil"/>
            </w:tcBorders>
            <w:shd w:val="clear" w:color="000000" w:fill="FFFFFF"/>
            <w:noWrap/>
            <w:hideMark/>
          </w:tcPr>
          <w:p w14:paraId="64AC166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Billeci</w:t>
            </w:r>
            <w:proofErr w:type="spellEnd"/>
            <w:r w:rsidRPr="00367BEC">
              <w:rPr>
                <w:rFonts w:ascii="Times New Roman" w:hAnsi="Times New Roman"/>
                <w:color w:val="000000"/>
                <w:sz w:val="20"/>
              </w:rPr>
              <w:t xml:space="preserve"> 2017</w:t>
            </w:r>
          </w:p>
        </w:tc>
        <w:tc>
          <w:tcPr>
            <w:tcW w:w="897" w:type="dxa"/>
            <w:tcBorders>
              <w:top w:val="nil"/>
              <w:left w:val="nil"/>
              <w:bottom w:val="nil"/>
              <w:right w:val="nil"/>
            </w:tcBorders>
            <w:shd w:val="clear" w:color="000000" w:fill="FFFFFF"/>
            <w:noWrap/>
            <w:hideMark/>
          </w:tcPr>
          <w:p w14:paraId="38E4829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598" w:type="dxa"/>
            <w:tcBorders>
              <w:top w:val="nil"/>
              <w:left w:val="nil"/>
              <w:bottom w:val="nil"/>
              <w:right w:val="nil"/>
            </w:tcBorders>
            <w:shd w:val="clear" w:color="000000" w:fill="FFFFFF"/>
            <w:noWrap/>
            <w:hideMark/>
          </w:tcPr>
          <w:p w14:paraId="31731A3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DN4</w:t>
            </w:r>
          </w:p>
        </w:tc>
        <w:tc>
          <w:tcPr>
            <w:tcW w:w="325" w:type="dxa"/>
            <w:tcBorders>
              <w:top w:val="nil"/>
              <w:left w:val="nil"/>
              <w:bottom w:val="nil"/>
              <w:right w:val="nil"/>
            </w:tcBorders>
            <w:shd w:val="clear" w:color="000000" w:fill="FFFFFF"/>
            <w:noWrap/>
            <w:hideMark/>
          </w:tcPr>
          <w:p w14:paraId="27C1D31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4,1</w:t>
            </w:r>
          </w:p>
        </w:tc>
        <w:tc>
          <w:tcPr>
            <w:tcW w:w="1048" w:type="dxa"/>
            <w:gridSpan w:val="2"/>
            <w:tcBorders>
              <w:top w:val="nil"/>
              <w:left w:val="nil"/>
              <w:bottom w:val="single" w:sz="8" w:space="0" w:color="auto"/>
              <w:right w:val="nil"/>
            </w:tcBorders>
            <w:shd w:val="clear" w:color="000000" w:fill="FFFFFF"/>
            <w:noWrap/>
            <w:hideMark/>
          </w:tcPr>
          <w:p w14:paraId="51CC50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w:t>
            </w:r>
          </w:p>
        </w:tc>
        <w:tc>
          <w:tcPr>
            <w:tcW w:w="310" w:type="dxa"/>
            <w:tcBorders>
              <w:top w:val="nil"/>
              <w:left w:val="nil"/>
              <w:bottom w:val="nil"/>
              <w:right w:val="nil"/>
            </w:tcBorders>
            <w:shd w:val="clear" w:color="000000" w:fill="FFFFFF"/>
            <w:noWrap/>
            <w:hideMark/>
          </w:tcPr>
          <w:p w14:paraId="263855D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w:t>
            </w:r>
          </w:p>
        </w:tc>
        <w:tc>
          <w:tcPr>
            <w:tcW w:w="749" w:type="dxa"/>
            <w:gridSpan w:val="2"/>
            <w:tcBorders>
              <w:top w:val="nil"/>
              <w:left w:val="nil"/>
              <w:bottom w:val="single" w:sz="8" w:space="0" w:color="auto"/>
              <w:right w:val="nil"/>
            </w:tcBorders>
            <w:shd w:val="clear" w:color="000000" w:fill="FFFFFF"/>
            <w:noWrap/>
            <w:hideMark/>
          </w:tcPr>
          <w:p w14:paraId="5A41630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w:t>
            </w:r>
          </w:p>
        </w:tc>
        <w:tc>
          <w:tcPr>
            <w:tcW w:w="1014" w:type="dxa"/>
            <w:tcBorders>
              <w:top w:val="nil"/>
              <w:left w:val="nil"/>
              <w:bottom w:val="nil"/>
              <w:right w:val="nil"/>
            </w:tcBorders>
            <w:shd w:val="clear" w:color="000000" w:fill="FFFFFF"/>
            <w:noWrap/>
            <w:hideMark/>
          </w:tcPr>
          <w:p w14:paraId="1980180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−2,2</w:t>
            </w:r>
          </w:p>
        </w:tc>
        <w:tc>
          <w:tcPr>
            <w:tcW w:w="1358" w:type="dxa"/>
            <w:tcBorders>
              <w:top w:val="nil"/>
              <w:left w:val="nil"/>
              <w:bottom w:val="nil"/>
              <w:right w:val="nil"/>
            </w:tcBorders>
            <w:shd w:val="clear" w:color="000000" w:fill="FFFFFF"/>
            <w:noWrap/>
            <w:hideMark/>
          </w:tcPr>
          <w:p w14:paraId="62265EEA"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−53,7</w:t>
            </w:r>
            <w:r w:rsidRPr="00367BEC">
              <w:rPr>
                <w:rFonts w:ascii="Times New Roman" w:hAnsi="Times New Roman"/>
                <w:b/>
                <w:color w:val="000000"/>
                <w:sz w:val="20"/>
                <w:vertAlign w:val="superscript"/>
              </w:rPr>
              <w:t>ii</w:t>
            </w:r>
          </w:p>
        </w:tc>
        <w:tc>
          <w:tcPr>
            <w:tcW w:w="973" w:type="dxa"/>
            <w:tcBorders>
              <w:top w:val="nil"/>
              <w:left w:val="nil"/>
              <w:bottom w:val="nil"/>
              <w:right w:val="nil"/>
            </w:tcBorders>
            <w:shd w:val="clear" w:color="000000" w:fill="FFFFFF"/>
            <w:noWrap/>
            <w:hideMark/>
          </w:tcPr>
          <w:p w14:paraId="751434C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 (%)</w:t>
            </w:r>
          </w:p>
        </w:tc>
        <w:tc>
          <w:tcPr>
            <w:tcW w:w="492" w:type="dxa"/>
            <w:tcBorders>
              <w:top w:val="nil"/>
              <w:left w:val="nil"/>
              <w:bottom w:val="nil"/>
              <w:right w:val="nil"/>
            </w:tcBorders>
            <w:shd w:val="clear" w:color="000000" w:fill="FFFFFF"/>
            <w:noWrap/>
            <w:hideMark/>
          </w:tcPr>
          <w:p w14:paraId="233AE86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70,0</w:t>
            </w:r>
          </w:p>
        </w:tc>
        <w:tc>
          <w:tcPr>
            <w:tcW w:w="1000" w:type="dxa"/>
            <w:gridSpan w:val="2"/>
            <w:tcBorders>
              <w:top w:val="nil"/>
              <w:left w:val="nil"/>
              <w:bottom w:val="nil"/>
              <w:right w:val="nil"/>
            </w:tcBorders>
            <w:shd w:val="clear" w:color="000000" w:fill="FFFFFF"/>
            <w:noWrap/>
            <w:hideMark/>
          </w:tcPr>
          <w:p w14:paraId="25F387E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(31/44)</w:t>
            </w:r>
          </w:p>
        </w:tc>
        <w:tc>
          <w:tcPr>
            <w:tcW w:w="489" w:type="dxa"/>
            <w:tcBorders>
              <w:top w:val="nil"/>
              <w:left w:val="nil"/>
              <w:bottom w:val="nil"/>
              <w:right w:val="nil"/>
            </w:tcBorders>
            <w:shd w:val="clear" w:color="000000" w:fill="FFFFFF"/>
            <w:noWrap/>
            <w:hideMark/>
          </w:tcPr>
          <w:p w14:paraId="0AB238E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23,0</w:t>
            </w:r>
          </w:p>
        </w:tc>
        <w:tc>
          <w:tcPr>
            <w:tcW w:w="1002" w:type="dxa"/>
            <w:gridSpan w:val="2"/>
            <w:tcBorders>
              <w:top w:val="nil"/>
              <w:left w:val="nil"/>
              <w:bottom w:val="nil"/>
              <w:right w:val="nil"/>
            </w:tcBorders>
            <w:shd w:val="clear" w:color="000000" w:fill="FFFFFF"/>
            <w:noWrap/>
            <w:hideMark/>
          </w:tcPr>
          <w:p w14:paraId="723E03C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10</w:t>
            </w:r>
            <w:r w:rsidRPr="00367BEC">
              <w:rPr>
                <w:rFonts w:ascii="Times New Roman" w:hAnsi="Times New Roman"/>
                <w:color w:val="000000"/>
                <w:sz w:val="20"/>
              </w:rPr>
              <w:t>/44)</w:t>
            </w:r>
          </w:p>
        </w:tc>
        <w:tc>
          <w:tcPr>
            <w:tcW w:w="1023" w:type="dxa"/>
            <w:tcBorders>
              <w:top w:val="nil"/>
              <w:left w:val="nil"/>
              <w:bottom w:val="nil"/>
              <w:right w:val="nil"/>
            </w:tcBorders>
            <w:shd w:val="clear" w:color="000000" w:fill="FFFFFF"/>
            <w:noWrap/>
            <w:hideMark/>
          </w:tcPr>
          <w:p w14:paraId="5022FD65"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−47,0</w:t>
            </w:r>
          </w:p>
        </w:tc>
        <w:tc>
          <w:tcPr>
            <w:tcW w:w="1371" w:type="dxa"/>
            <w:tcBorders>
              <w:top w:val="nil"/>
              <w:left w:val="nil"/>
              <w:bottom w:val="nil"/>
              <w:right w:val="nil"/>
            </w:tcBorders>
            <w:shd w:val="clear" w:color="000000" w:fill="FFFFFF"/>
            <w:noWrap/>
            <w:hideMark/>
          </w:tcPr>
          <w:p w14:paraId="695FF650"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−67,1</w:t>
            </w:r>
            <w:r w:rsidRPr="00367BEC">
              <w:rPr>
                <w:rFonts w:ascii="Times New Roman" w:hAnsi="Times New Roman"/>
                <w:b/>
                <w:color w:val="000000"/>
                <w:sz w:val="20"/>
                <w:vertAlign w:val="superscript"/>
              </w:rPr>
              <w:t>ii</w:t>
            </w:r>
          </w:p>
        </w:tc>
      </w:tr>
      <w:tr w:rsidR="002E4D99" w:rsidRPr="00367BEC" w14:paraId="25BE785B" w14:textId="77777777" w:rsidTr="00CF1C1E">
        <w:trPr>
          <w:trHeight w:val="20"/>
        </w:trPr>
        <w:tc>
          <w:tcPr>
            <w:tcW w:w="1400" w:type="dxa"/>
            <w:tcBorders>
              <w:top w:val="single" w:sz="8" w:space="0" w:color="auto"/>
              <w:left w:val="nil"/>
              <w:bottom w:val="nil"/>
              <w:right w:val="nil"/>
            </w:tcBorders>
            <w:shd w:val="clear" w:color="000000" w:fill="FFFFFF"/>
            <w:noWrap/>
            <w:hideMark/>
          </w:tcPr>
          <w:p w14:paraId="44A9D42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Passavanti</w:t>
            </w:r>
            <w:proofErr w:type="spellEnd"/>
            <w:r w:rsidRPr="00367BEC">
              <w:rPr>
                <w:rFonts w:ascii="Times New Roman" w:hAnsi="Times New Roman"/>
                <w:color w:val="000000"/>
                <w:sz w:val="20"/>
              </w:rPr>
              <w:t xml:space="preserve"> 2017</w:t>
            </w:r>
          </w:p>
        </w:tc>
        <w:tc>
          <w:tcPr>
            <w:tcW w:w="897" w:type="dxa"/>
            <w:tcBorders>
              <w:top w:val="single" w:sz="8" w:space="0" w:color="auto"/>
              <w:left w:val="nil"/>
              <w:bottom w:val="nil"/>
              <w:right w:val="nil"/>
            </w:tcBorders>
            <w:shd w:val="clear" w:color="000000" w:fill="FFFFFF"/>
            <w:noWrap/>
            <w:hideMark/>
          </w:tcPr>
          <w:p w14:paraId="423D24A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598" w:type="dxa"/>
            <w:tcBorders>
              <w:top w:val="single" w:sz="8" w:space="0" w:color="auto"/>
              <w:left w:val="nil"/>
              <w:bottom w:val="nil"/>
              <w:right w:val="nil"/>
            </w:tcBorders>
            <w:shd w:val="clear" w:color="000000" w:fill="FFFFFF"/>
            <w:noWrap/>
            <w:hideMark/>
          </w:tcPr>
          <w:p w14:paraId="3EB4DD6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DN4</w:t>
            </w:r>
          </w:p>
        </w:tc>
        <w:tc>
          <w:tcPr>
            <w:tcW w:w="325" w:type="dxa"/>
            <w:tcBorders>
              <w:top w:val="single" w:sz="8" w:space="0" w:color="auto"/>
              <w:left w:val="nil"/>
              <w:bottom w:val="nil"/>
              <w:right w:val="nil"/>
            </w:tcBorders>
            <w:shd w:val="clear" w:color="000000" w:fill="FFFFFF"/>
            <w:noWrap/>
            <w:hideMark/>
          </w:tcPr>
          <w:p w14:paraId="3B9DDEF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6,1</w:t>
            </w:r>
          </w:p>
        </w:tc>
        <w:tc>
          <w:tcPr>
            <w:tcW w:w="1048" w:type="dxa"/>
            <w:gridSpan w:val="2"/>
            <w:tcBorders>
              <w:top w:val="nil"/>
              <w:left w:val="nil"/>
              <w:bottom w:val="nil"/>
              <w:right w:val="nil"/>
            </w:tcBorders>
            <w:shd w:val="clear" w:color="000000" w:fill="FFFFFF"/>
            <w:noWrap/>
            <w:hideMark/>
          </w:tcPr>
          <w:p w14:paraId="327F1520" w14:textId="77777777" w:rsidR="002E4D99" w:rsidRPr="00367BEC" w:rsidRDefault="002E4D99" w:rsidP="00CF1C1E">
            <w:pPr>
              <w:spacing w:after="0" w:line="240" w:lineRule="auto"/>
              <w:ind w:left="-346" w:firstLine="346"/>
              <w:rPr>
                <w:rFonts w:ascii="Times New Roman" w:eastAsia="Times New Roman" w:hAnsi="Times New Roman" w:cs="Times New Roman"/>
                <w:color w:val="000000"/>
                <w:sz w:val="20"/>
                <w:szCs w:val="20"/>
              </w:rPr>
            </w:pPr>
            <w:r w:rsidRPr="00367BEC">
              <w:rPr>
                <w:rFonts w:ascii="Times New Roman" w:hAnsi="Times New Roman"/>
                <w:color w:val="000000"/>
                <w:sz w:val="20"/>
              </w:rPr>
              <w:t>EE = 0,1</w:t>
            </w:r>
            <w:r w:rsidRPr="00367BEC">
              <w:rPr>
                <w:rFonts w:ascii="Times New Roman" w:hAnsi="Times New Roman"/>
                <w:b/>
                <w:color w:val="000000"/>
                <w:sz w:val="20"/>
                <w:vertAlign w:val="superscript"/>
              </w:rPr>
              <w:t>n.s.</w:t>
            </w:r>
          </w:p>
        </w:tc>
        <w:tc>
          <w:tcPr>
            <w:tcW w:w="310" w:type="dxa"/>
            <w:tcBorders>
              <w:top w:val="single" w:sz="8" w:space="0" w:color="auto"/>
              <w:left w:val="nil"/>
              <w:bottom w:val="nil"/>
              <w:right w:val="nil"/>
            </w:tcBorders>
            <w:shd w:val="clear" w:color="000000" w:fill="FFFFFF"/>
            <w:noWrap/>
            <w:hideMark/>
          </w:tcPr>
          <w:p w14:paraId="505A485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5,0</w:t>
            </w:r>
          </w:p>
        </w:tc>
        <w:tc>
          <w:tcPr>
            <w:tcW w:w="749" w:type="dxa"/>
            <w:gridSpan w:val="2"/>
            <w:tcBorders>
              <w:top w:val="nil"/>
              <w:left w:val="nil"/>
              <w:bottom w:val="nil"/>
              <w:right w:val="nil"/>
            </w:tcBorders>
            <w:shd w:val="clear" w:color="000000" w:fill="FFFFFF"/>
            <w:noWrap/>
            <w:hideMark/>
          </w:tcPr>
          <w:p w14:paraId="3295F1A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0,0</w:t>
            </w:r>
          </w:p>
        </w:tc>
        <w:tc>
          <w:tcPr>
            <w:tcW w:w="1014" w:type="dxa"/>
            <w:tcBorders>
              <w:top w:val="single" w:sz="8" w:space="0" w:color="auto"/>
              <w:left w:val="nil"/>
              <w:bottom w:val="nil"/>
              <w:right w:val="nil"/>
            </w:tcBorders>
            <w:shd w:val="clear" w:color="000000" w:fill="FFFFFF"/>
            <w:noWrap/>
            <w:hideMark/>
          </w:tcPr>
          <w:p w14:paraId="3D651293"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−1,1</w:t>
            </w:r>
            <w:r w:rsidRPr="00367BEC">
              <w:rPr>
                <w:rFonts w:ascii="Times New Roman" w:hAnsi="Times New Roman"/>
                <w:b/>
                <w:color w:val="000000"/>
                <w:sz w:val="20"/>
                <w:vertAlign w:val="superscript"/>
              </w:rPr>
              <w:t>III</w:t>
            </w:r>
          </w:p>
        </w:tc>
        <w:tc>
          <w:tcPr>
            <w:tcW w:w="1358" w:type="dxa"/>
            <w:tcBorders>
              <w:top w:val="single" w:sz="8" w:space="0" w:color="auto"/>
              <w:left w:val="nil"/>
              <w:bottom w:val="nil"/>
              <w:right w:val="nil"/>
            </w:tcBorders>
            <w:shd w:val="clear" w:color="000000" w:fill="FFFFFF"/>
            <w:noWrap/>
            <w:hideMark/>
          </w:tcPr>
          <w:p w14:paraId="698668F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−18,0</w:t>
            </w:r>
            <w:r w:rsidRPr="00367BEC">
              <w:rPr>
                <w:rFonts w:ascii="Times New Roman" w:hAnsi="Times New Roman"/>
                <w:b/>
                <w:color w:val="000000"/>
                <w:sz w:val="20"/>
                <w:vertAlign w:val="superscript"/>
              </w:rPr>
              <w:t>iii</w:t>
            </w:r>
          </w:p>
        </w:tc>
        <w:tc>
          <w:tcPr>
            <w:tcW w:w="973" w:type="dxa"/>
            <w:tcBorders>
              <w:top w:val="single" w:sz="8" w:space="0" w:color="auto"/>
              <w:left w:val="nil"/>
              <w:bottom w:val="nil"/>
              <w:right w:val="nil"/>
            </w:tcBorders>
            <w:shd w:val="clear" w:color="000000" w:fill="FFFFFF"/>
            <w:noWrap/>
            <w:hideMark/>
          </w:tcPr>
          <w:p w14:paraId="6476BF1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&lt;4 (%)</w:t>
            </w:r>
          </w:p>
        </w:tc>
        <w:tc>
          <w:tcPr>
            <w:tcW w:w="492" w:type="dxa"/>
            <w:tcBorders>
              <w:top w:val="single" w:sz="8" w:space="0" w:color="auto"/>
              <w:left w:val="nil"/>
              <w:bottom w:val="nil"/>
              <w:right w:val="nil"/>
            </w:tcBorders>
            <w:shd w:val="clear" w:color="000000" w:fill="FFFFFF"/>
            <w:noWrap/>
            <w:hideMark/>
          </w:tcPr>
          <w:p w14:paraId="3A8D1DD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00" w:type="dxa"/>
            <w:gridSpan w:val="2"/>
            <w:tcBorders>
              <w:top w:val="single" w:sz="8" w:space="0" w:color="auto"/>
              <w:left w:val="nil"/>
              <w:bottom w:val="nil"/>
              <w:right w:val="nil"/>
            </w:tcBorders>
            <w:shd w:val="clear" w:color="000000" w:fill="FFFFFF"/>
            <w:noWrap/>
            <w:hideMark/>
          </w:tcPr>
          <w:p w14:paraId="52BE5D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89" w:type="dxa"/>
            <w:tcBorders>
              <w:top w:val="single" w:sz="8" w:space="0" w:color="auto"/>
              <w:left w:val="nil"/>
              <w:bottom w:val="nil"/>
              <w:right w:val="nil"/>
            </w:tcBorders>
            <w:shd w:val="clear" w:color="000000" w:fill="FFFFFF"/>
            <w:noWrap/>
            <w:hideMark/>
          </w:tcPr>
          <w:p w14:paraId="6C1E913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0,0</w:t>
            </w:r>
          </w:p>
        </w:tc>
        <w:tc>
          <w:tcPr>
            <w:tcW w:w="1002" w:type="dxa"/>
            <w:gridSpan w:val="2"/>
            <w:tcBorders>
              <w:top w:val="single" w:sz="8" w:space="0" w:color="auto"/>
              <w:left w:val="nil"/>
              <w:bottom w:val="nil"/>
              <w:right w:val="nil"/>
            </w:tcBorders>
            <w:shd w:val="clear" w:color="000000" w:fill="FFFFFF"/>
            <w:noWrap/>
            <w:hideMark/>
          </w:tcPr>
          <w:p w14:paraId="6BB6EE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0</w:t>
            </w:r>
            <w:r w:rsidRPr="00367BEC">
              <w:rPr>
                <w:rFonts w:ascii="Times New Roman" w:hAnsi="Times New Roman"/>
                <w:color w:val="000000"/>
                <w:sz w:val="20"/>
              </w:rPr>
              <w:t>/25)</w:t>
            </w:r>
            <w:r w:rsidRPr="00367BEC">
              <w:rPr>
                <w:rFonts w:ascii="Times New Roman" w:hAnsi="Times New Roman"/>
                <w:b/>
                <w:color w:val="000000"/>
                <w:sz w:val="20"/>
                <w:vertAlign w:val="superscript"/>
              </w:rPr>
              <w:t>III</w:t>
            </w:r>
          </w:p>
        </w:tc>
        <w:tc>
          <w:tcPr>
            <w:tcW w:w="1023" w:type="dxa"/>
            <w:tcBorders>
              <w:top w:val="single" w:sz="8" w:space="0" w:color="auto"/>
              <w:left w:val="nil"/>
              <w:bottom w:val="nil"/>
              <w:right w:val="nil"/>
            </w:tcBorders>
            <w:shd w:val="clear" w:color="000000" w:fill="FFFFFF"/>
            <w:noWrap/>
            <w:hideMark/>
          </w:tcPr>
          <w:p w14:paraId="63DD5CA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71" w:type="dxa"/>
            <w:tcBorders>
              <w:top w:val="single" w:sz="8" w:space="0" w:color="auto"/>
              <w:left w:val="nil"/>
              <w:bottom w:val="nil"/>
              <w:right w:val="nil"/>
            </w:tcBorders>
            <w:shd w:val="clear" w:color="000000" w:fill="FFFFFF"/>
            <w:noWrap/>
            <w:hideMark/>
          </w:tcPr>
          <w:p w14:paraId="3E38D7E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3CC83A0C" w14:textId="77777777" w:rsidTr="00CF1C1E">
        <w:trPr>
          <w:trHeight w:val="20"/>
        </w:trPr>
        <w:tc>
          <w:tcPr>
            <w:tcW w:w="1400" w:type="dxa"/>
            <w:tcBorders>
              <w:top w:val="nil"/>
              <w:left w:val="nil"/>
              <w:bottom w:val="nil"/>
              <w:right w:val="nil"/>
            </w:tcBorders>
            <w:shd w:val="clear" w:color="000000" w:fill="FFFFFF"/>
            <w:noWrap/>
            <w:hideMark/>
          </w:tcPr>
          <w:p w14:paraId="171BF59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97" w:type="dxa"/>
            <w:tcBorders>
              <w:top w:val="nil"/>
              <w:left w:val="nil"/>
              <w:right w:val="nil"/>
            </w:tcBorders>
            <w:shd w:val="clear" w:color="000000" w:fill="FFFFFF"/>
            <w:noWrap/>
            <w:hideMark/>
          </w:tcPr>
          <w:p w14:paraId="26A9034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8" w:type="dxa"/>
            <w:tcBorders>
              <w:top w:val="nil"/>
              <w:left w:val="nil"/>
              <w:right w:val="nil"/>
            </w:tcBorders>
            <w:shd w:val="clear" w:color="000000" w:fill="FFFFFF"/>
            <w:noWrap/>
            <w:hideMark/>
          </w:tcPr>
          <w:p w14:paraId="3CEFDD2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25" w:type="dxa"/>
            <w:tcBorders>
              <w:top w:val="nil"/>
              <w:left w:val="nil"/>
              <w:right w:val="nil"/>
            </w:tcBorders>
            <w:shd w:val="clear" w:color="000000" w:fill="FFFFFF"/>
            <w:noWrap/>
            <w:hideMark/>
          </w:tcPr>
          <w:p w14:paraId="59045F5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48" w:type="dxa"/>
            <w:gridSpan w:val="2"/>
            <w:tcBorders>
              <w:top w:val="nil"/>
              <w:left w:val="nil"/>
              <w:right w:val="nil"/>
            </w:tcBorders>
            <w:shd w:val="clear" w:color="000000" w:fill="FFFFFF"/>
            <w:noWrap/>
            <w:hideMark/>
          </w:tcPr>
          <w:p w14:paraId="17CA403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10" w:type="dxa"/>
            <w:tcBorders>
              <w:top w:val="nil"/>
              <w:left w:val="nil"/>
              <w:right w:val="nil"/>
            </w:tcBorders>
            <w:shd w:val="clear" w:color="000000" w:fill="FFFFFF"/>
            <w:noWrap/>
            <w:hideMark/>
          </w:tcPr>
          <w:p w14:paraId="450EF70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749" w:type="dxa"/>
            <w:gridSpan w:val="2"/>
            <w:tcBorders>
              <w:top w:val="nil"/>
              <w:left w:val="nil"/>
              <w:right w:val="nil"/>
            </w:tcBorders>
            <w:shd w:val="clear" w:color="000000" w:fill="FFFFFF"/>
            <w:noWrap/>
            <w:hideMark/>
          </w:tcPr>
          <w:p w14:paraId="6A28322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14" w:type="dxa"/>
            <w:tcBorders>
              <w:top w:val="nil"/>
              <w:left w:val="nil"/>
              <w:right w:val="nil"/>
            </w:tcBorders>
            <w:shd w:val="clear" w:color="000000" w:fill="FFFFFF"/>
            <w:noWrap/>
            <w:hideMark/>
          </w:tcPr>
          <w:p w14:paraId="2318846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58" w:type="dxa"/>
            <w:tcBorders>
              <w:top w:val="nil"/>
              <w:left w:val="nil"/>
              <w:right w:val="nil"/>
            </w:tcBorders>
            <w:shd w:val="clear" w:color="000000" w:fill="FFFFFF"/>
            <w:noWrap/>
            <w:hideMark/>
          </w:tcPr>
          <w:p w14:paraId="7E9CC19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973" w:type="dxa"/>
            <w:tcBorders>
              <w:top w:val="nil"/>
              <w:left w:val="nil"/>
              <w:right w:val="nil"/>
            </w:tcBorders>
            <w:shd w:val="clear" w:color="000000" w:fill="FFFFFF"/>
            <w:noWrap/>
            <w:hideMark/>
          </w:tcPr>
          <w:p w14:paraId="5EBB3A4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 (%)</w:t>
            </w:r>
          </w:p>
        </w:tc>
        <w:tc>
          <w:tcPr>
            <w:tcW w:w="492" w:type="dxa"/>
            <w:tcBorders>
              <w:top w:val="nil"/>
              <w:left w:val="nil"/>
              <w:right w:val="nil"/>
            </w:tcBorders>
            <w:shd w:val="clear" w:color="000000" w:fill="FFFFFF"/>
            <w:noWrap/>
            <w:hideMark/>
          </w:tcPr>
          <w:p w14:paraId="4FB6DA9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00" w:type="dxa"/>
            <w:gridSpan w:val="2"/>
            <w:tcBorders>
              <w:top w:val="nil"/>
              <w:left w:val="nil"/>
              <w:right w:val="nil"/>
            </w:tcBorders>
            <w:shd w:val="clear" w:color="000000" w:fill="FFFFFF"/>
            <w:noWrap/>
            <w:hideMark/>
          </w:tcPr>
          <w:p w14:paraId="34ED43F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89" w:type="dxa"/>
            <w:tcBorders>
              <w:top w:val="nil"/>
              <w:left w:val="nil"/>
              <w:right w:val="nil"/>
            </w:tcBorders>
            <w:shd w:val="clear" w:color="000000" w:fill="FFFFFF"/>
            <w:noWrap/>
            <w:hideMark/>
          </w:tcPr>
          <w:p w14:paraId="0D55953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96,0 </w:t>
            </w:r>
          </w:p>
        </w:tc>
        <w:tc>
          <w:tcPr>
            <w:tcW w:w="1002" w:type="dxa"/>
            <w:gridSpan w:val="2"/>
            <w:tcBorders>
              <w:top w:val="nil"/>
              <w:left w:val="nil"/>
              <w:right w:val="nil"/>
            </w:tcBorders>
            <w:shd w:val="clear" w:color="000000" w:fill="FFFFFF"/>
            <w:noWrap/>
            <w:hideMark/>
          </w:tcPr>
          <w:p w14:paraId="274AAFE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24</w:t>
            </w:r>
            <w:r w:rsidRPr="00367BEC">
              <w:rPr>
                <w:rFonts w:ascii="Times New Roman" w:hAnsi="Times New Roman"/>
                <w:color w:val="000000"/>
                <w:sz w:val="20"/>
              </w:rPr>
              <w:t>/25)</w:t>
            </w:r>
            <w:proofErr w:type="spellStart"/>
            <w:r w:rsidRPr="00367BEC">
              <w:rPr>
                <w:rFonts w:ascii="Times New Roman" w:hAnsi="Times New Roman"/>
                <w:b/>
                <w:color w:val="000000"/>
                <w:sz w:val="20"/>
                <w:vertAlign w:val="superscript"/>
              </w:rPr>
              <w:t>n.s.</w:t>
            </w:r>
            <w:proofErr w:type="spellEnd"/>
          </w:p>
        </w:tc>
        <w:tc>
          <w:tcPr>
            <w:tcW w:w="1023" w:type="dxa"/>
            <w:tcBorders>
              <w:top w:val="nil"/>
              <w:left w:val="nil"/>
              <w:right w:val="nil"/>
            </w:tcBorders>
            <w:shd w:val="clear" w:color="000000" w:fill="FFFFFF"/>
            <w:noWrap/>
            <w:hideMark/>
          </w:tcPr>
          <w:p w14:paraId="774A347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71" w:type="dxa"/>
            <w:tcBorders>
              <w:top w:val="nil"/>
              <w:left w:val="nil"/>
              <w:right w:val="nil"/>
            </w:tcBorders>
            <w:shd w:val="clear" w:color="000000" w:fill="FFFFFF"/>
            <w:noWrap/>
            <w:hideMark/>
          </w:tcPr>
          <w:p w14:paraId="74CB780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4E69645" w14:textId="77777777" w:rsidTr="00CF1C1E">
        <w:trPr>
          <w:trHeight w:val="20"/>
        </w:trPr>
        <w:tc>
          <w:tcPr>
            <w:tcW w:w="1400" w:type="dxa"/>
            <w:tcBorders>
              <w:top w:val="nil"/>
              <w:left w:val="nil"/>
              <w:bottom w:val="nil"/>
              <w:right w:val="nil"/>
            </w:tcBorders>
            <w:shd w:val="clear" w:color="000000" w:fill="FFFFFF"/>
            <w:noWrap/>
            <w:hideMark/>
          </w:tcPr>
          <w:p w14:paraId="6867BD4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97" w:type="dxa"/>
            <w:tcBorders>
              <w:top w:val="nil"/>
              <w:left w:val="nil"/>
              <w:bottom w:val="single" w:sz="4" w:space="0" w:color="D0CECE" w:themeColor="background2" w:themeShade="E6"/>
              <w:right w:val="nil"/>
            </w:tcBorders>
            <w:shd w:val="clear" w:color="000000" w:fill="FFFFFF"/>
            <w:noWrap/>
            <w:hideMark/>
          </w:tcPr>
          <w:p w14:paraId="6ED5C5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8" w:type="dxa"/>
            <w:tcBorders>
              <w:top w:val="nil"/>
              <w:left w:val="nil"/>
              <w:bottom w:val="single" w:sz="4" w:space="0" w:color="D0CECE" w:themeColor="background2" w:themeShade="E6"/>
              <w:right w:val="nil"/>
            </w:tcBorders>
            <w:shd w:val="clear" w:color="000000" w:fill="FFFFFF"/>
            <w:noWrap/>
            <w:hideMark/>
          </w:tcPr>
          <w:p w14:paraId="1A02F47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25" w:type="dxa"/>
            <w:tcBorders>
              <w:top w:val="nil"/>
              <w:left w:val="nil"/>
              <w:bottom w:val="single" w:sz="4" w:space="0" w:color="D0CECE" w:themeColor="background2" w:themeShade="E6"/>
              <w:right w:val="nil"/>
            </w:tcBorders>
            <w:shd w:val="clear" w:color="000000" w:fill="FFFFFF"/>
            <w:noWrap/>
            <w:hideMark/>
          </w:tcPr>
          <w:p w14:paraId="7E69FA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48" w:type="dxa"/>
            <w:gridSpan w:val="2"/>
            <w:tcBorders>
              <w:top w:val="nil"/>
              <w:left w:val="nil"/>
              <w:bottom w:val="single" w:sz="4" w:space="0" w:color="D0CECE" w:themeColor="background2" w:themeShade="E6"/>
              <w:right w:val="nil"/>
            </w:tcBorders>
            <w:shd w:val="clear" w:color="000000" w:fill="FFFFFF"/>
            <w:noWrap/>
            <w:hideMark/>
          </w:tcPr>
          <w:p w14:paraId="42BA4A4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10" w:type="dxa"/>
            <w:tcBorders>
              <w:top w:val="nil"/>
              <w:left w:val="nil"/>
              <w:bottom w:val="single" w:sz="4" w:space="0" w:color="D0CECE" w:themeColor="background2" w:themeShade="E6"/>
              <w:right w:val="nil"/>
            </w:tcBorders>
            <w:shd w:val="clear" w:color="000000" w:fill="FFFFFF"/>
            <w:noWrap/>
            <w:hideMark/>
          </w:tcPr>
          <w:p w14:paraId="7FC11FB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749" w:type="dxa"/>
            <w:gridSpan w:val="2"/>
            <w:tcBorders>
              <w:top w:val="nil"/>
              <w:left w:val="nil"/>
              <w:bottom w:val="single" w:sz="4" w:space="0" w:color="D0CECE" w:themeColor="background2" w:themeShade="E6"/>
              <w:right w:val="nil"/>
            </w:tcBorders>
            <w:shd w:val="clear" w:color="000000" w:fill="FFFFFF"/>
            <w:noWrap/>
            <w:hideMark/>
          </w:tcPr>
          <w:p w14:paraId="2EEBCFE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14" w:type="dxa"/>
            <w:tcBorders>
              <w:top w:val="nil"/>
              <w:left w:val="nil"/>
              <w:bottom w:val="single" w:sz="4" w:space="0" w:color="D0CECE" w:themeColor="background2" w:themeShade="E6"/>
              <w:right w:val="nil"/>
            </w:tcBorders>
            <w:shd w:val="clear" w:color="000000" w:fill="FFFFFF"/>
            <w:noWrap/>
            <w:hideMark/>
          </w:tcPr>
          <w:p w14:paraId="2794CCE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58" w:type="dxa"/>
            <w:tcBorders>
              <w:top w:val="nil"/>
              <w:left w:val="nil"/>
              <w:bottom w:val="single" w:sz="4" w:space="0" w:color="D0CECE" w:themeColor="background2" w:themeShade="E6"/>
              <w:right w:val="nil"/>
            </w:tcBorders>
            <w:shd w:val="clear" w:color="000000" w:fill="FFFFFF"/>
            <w:noWrap/>
            <w:hideMark/>
          </w:tcPr>
          <w:p w14:paraId="1284B1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973" w:type="dxa"/>
            <w:tcBorders>
              <w:top w:val="nil"/>
              <w:left w:val="nil"/>
              <w:bottom w:val="single" w:sz="4" w:space="0" w:color="D0CECE" w:themeColor="background2" w:themeShade="E6"/>
              <w:right w:val="nil"/>
            </w:tcBorders>
            <w:shd w:val="clear" w:color="000000" w:fill="FFFFFF"/>
            <w:noWrap/>
            <w:hideMark/>
          </w:tcPr>
          <w:p w14:paraId="079671D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 (%)</w:t>
            </w:r>
          </w:p>
        </w:tc>
        <w:tc>
          <w:tcPr>
            <w:tcW w:w="492" w:type="dxa"/>
            <w:tcBorders>
              <w:top w:val="nil"/>
              <w:left w:val="nil"/>
              <w:bottom w:val="single" w:sz="4" w:space="0" w:color="D0CECE" w:themeColor="background2" w:themeShade="E6"/>
              <w:right w:val="nil"/>
            </w:tcBorders>
            <w:shd w:val="clear" w:color="000000" w:fill="FFFFFF"/>
            <w:noWrap/>
            <w:hideMark/>
          </w:tcPr>
          <w:p w14:paraId="319A328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00" w:type="dxa"/>
            <w:gridSpan w:val="2"/>
            <w:tcBorders>
              <w:top w:val="nil"/>
              <w:left w:val="nil"/>
              <w:bottom w:val="single" w:sz="4" w:space="0" w:color="D0CECE" w:themeColor="background2" w:themeShade="E6"/>
              <w:right w:val="nil"/>
            </w:tcBorders>
            <w:shd w:val="clear" w:color="000000" w:fill="FFFFFF"/>
            <w:noWrap/>
            <w:hideMark/>
          </w:tcPr>
          <w:p w14:paraId="039039D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89" w:type="dxa"/>
            <w:tcBorders>
              <w:top w:val="nil"/>
              <w:left w:val="nil"/>
              <w:bottom w:val="single" w:sz="4" w:space="0" w:color="D0CECE" w:themeColor="background2" w:themeShade="E6"/>
              <w:right w:val="nil"/>
            </w:tcBorders>
            <w:shd w:val="clear" w:color="000000" w:fill="FFFFFF"/>
            <w:noWrap/>
            <w:hideMark/>
          </w:tcPr>
          <w:p w14:paraId="4F07785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20,0</w:t>
            </w:r>
          </w:p>
        </w:tc>
        <w:tc>
          <w:tcPr>
            <w:tcW w:w="1002" w:type="dxa"/>
            <w:gridSpan w:val="2"/>
            <w:tcBorders>
              <w:top w:val="nil"/>
              <w:left w:val="nil"/>
              <w:bottom w:val="single" w:sz="4" w:space="0" w:color="D0CECE" w:themeColor="background2" w:themeShade="E6"/>
              <w:right w:val="nil"/>
            </w:tcBorders>
            <w:shd w:val="clear" w:color="000000" w:fill="FFFFFF"/>
            <w:noWrap/>
            <w:hideMark/>
          </w:tcPr>
          <w:p w14:paraId="6CA0AB3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5</w:t>
            </w:r>
            <w:r w:rsidRPr="00367BEC">
              <w:rPr>
                <w:rFonts w:ascii="Times New Roman" w:hAnsi="Times New Roman"/>
                <w:color w:val="000000"/>
                <w:sz w:val="20"/>
              </w:rPr>
              <w:t>/25)</w:t>
            </w:r>
            <w:r w:rsidRPr="00367BEC">
              <w:rPr>
                <w:rFonts w:ascii="Times New Roman" w:hAnsi="Times New Roman"/>
                <w:b/>
                <w:color w:val="000000"/>
                <w:sz w:val="20"/>
                <w:vertAlign w:val="superscript"/>
              </w:rPr>
              <w:t>III</w:t>
            </w:r>
          </w:p>
        </w:tc>
        <w:tc>
          <w:tcPr>
            <w:tcW w:w="1023" w:type="dxa"/>
            <w:tcBorders>
              <w:top w:val="nil"/>
              <w:left w:val="nil"/>
              <w:bottom w:val="single" w:sz="4" w:space="0" w:color="D0CECE" w:themeColor="background2" w:themeShade="E6"/>
              <w:right w:val="nil"/>
            </w:tcBorders>
            <w:shd w:val="clear" w:color="000000" w:fill="FFFFFF"/>
            <w:noWrap/>
            <w:hideMark/>
          </w:tcPr>
          <w:p w14:paraId="6AD6839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71" w:type="dxa"/>
            <w:tcBorders>
              <w:top w:val="nil"/>
              <w:left w:val="nil"/>
              <w:bottom w:val="single" w:sz="4" w:space="0" w:color="D0CECE" w:themeColor="background2" w:themeShade="E6"/>
              <w:right w:val="nil"/>
            </w:tcBorders>
            <w:shd w:val="clear" w:color="000000" w:fill="FFFFFF"/>
            <w:noWrap/>
            <w:hideMark/>
          </w:tcPr>
          <w:p w14:paraId="428289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5B14E101" w14:textId="77777777" w:rsidTr="00CF1C1E">
        <w:trPr>
          <w:trHeight w:val="20"/>
        </w:trPr>
        <w:tc>
          <w:tcPr>
            <w:tcW w:w="1400" w:type="dxa"/>
            <w:tcBorders>
              <w:top w:val="nil"/>
              <w:left w:val="nil"/>
              <w:bottom w:val="nil"/>
              <w:right w:val="nil"/>
            </w:tcBorders>
            <w:shd w:val="clear" w:color="000000" w:fill="FFFFFF"/>
            <w:noWrap/>
            <w:hideMark/>
          </w:tcPr>
          <w:p w14:paraId="3D1F920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97" w:type="dxa"/>
            <w:vMerge w:val="restart"/>
            <w:tcBorders>
              <w:top w:val="single" w:sz="4" w:space="0" w:color="D0CECE" w:themeColor="background2" w:themeShade="E6"/>
              <w:left w:val="nil"/>
              <w:right w:val="nil"/>
            </w:tcBorders>
            <w:shd w:val="clear" w:color="000000" w:fill="FFFFFF"/>
            <w:noWrap/>
            <w:hideMark/>
          </w:tcPr>
          <w:p w14:paraId="7F331DB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TAP + </w:t>
            </w:r>
            <w:proofErr w:type="spellStart"/>
            <w:r w:rsidRPr="00367BEC">
              <w:rPr>
                <w:rFonts w:ascii="Times New Roman" w:hAnsi="Times New Roman"/>
                <w:color w:val="000000"/>
                <w:sz w:val="20"/>
              </w:rPr>
              <w:t>um</w:t>
            </w:r>
            <w:proofErr w:type="spellEnd"/>
            <w:r w:rsidRPr="00367BEC">
              <w:rPr>
                <w:rFonts w:ascii="Times New Roman" w:hAnsi="Times New Roman"/>
                <w:color w:val="000000"/>
                <w:sz w:val="20"/>
              </w:rPr>
              <w:t>-PEA</w:t>
            </w:r>
          </w:p>
          <w:p w14:paraId="6708E91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8" w:type="dxa"/>
            <w:tcBorders>
              <w:top w:val="single" w:sz="4" w:space="0" w:color="D0CECE" w:themeColor="background2" w:themeShade="E6"/>
              <w:left w:val="nil"/>
              <w:bottom w:val="nil"/>
              <w:right w:val="nil"/>
            </w:tcBorders>
            <w:shd w:val="clear" w:color="000000" w:fill="FFFFFF"/>
            <w:noWrap/>
            <w:hideMark/>
          </w:tcPr>
          <w:p w14:paraId="5BE4481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DN4</w:t>
            </w:r>
          </w:p>
        </w:tc>
        <w:tc>
          <w:tcPr>
            <w:tcW w:w="325" w:type="dxa"/>
            <w:tcBorders>
              <w:top w:val="single" w:sz="4" w:space="0" w:color="D0CECE" w:themeColor="background2" w:themeShade="E6"/>
              <w:left w:val="nil"/>
              <w:bottom w:val="nil"/>
              <w:right w:val="nil"/>
            </w:tcBorders>
            <w:shd w:val="clear" w:color="000000" w:fill="FFFFFF"/>
            <w:noWrap/>
            <w:hideMark/>
          </w:tcPr>
          <w:p w14:paraId="5FAD8D0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6,1</w:t>
            </w:r>
          </w:p>
        </w:tc>
        <w:tc>
          <w:tcPr>
            <w:tcW w:w="1048" w:type="dxa"/>
            <w:gridSpan w:val="2"/>
            <w:tcBorders>
              <w:top w:val="single" w:sz="4" w:space="0" w:color="D0CECE" w:themeColor="background2" w:themeShade="E6"/>
              <w:left w:val="nil"/>
              <w:bottom w:val="nil"/>
              <w:right w:val="nil"/>
            </w:tcBorders>
            <w:shd w:val="clear" w:color="000000" w:fill="FFFFFF"/>
            <w:noWrap/>
            <w:hideMark/>
          </w:tcPr>
          <w:p w14:paraId="2008A2C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0,1</w:t>
            </w:r>
          </w:p>
        </w:tc>
        <w:tc>
          <w:tcPr>
            <w:tcW w:w="310" w:type="dxa"/>
            <w:tcBorders>
              <w:top w:val="single" w:sz="4" w:space="0" w:color="D0CECE" w:themeColor="background2" w:themeShade="E6"/>
              <w:left w:val="nil"/>
              <w:bottom w:val="nil"/>
              <w:right w:val="nil"/>
            </w:tcBorders>
            <w:shd w:val="clear" w:color="000000" w:fill="FFFFFF"/>
            <w:noWrap/>
            <w:hideMark/>
          </w:tcPr>
          <w:p w14:paraId="065AA17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w:t>
            </w:r>
          </w:p>
        </w:tc>
        <w:tc>
          <w:tcPr>
            <w:tcW w:w="749" w:type="dxa"/>
            <w:gridSpan w:val="2"/>
            <w:tcBorders>
              <w:top w:val="single" w:sz="4" w:space="0" w:color="D0CECE" w:themeColor="background2" w:themeShade="E6"/>
              <w:left w:val="nil"/>
              <w:bottom w:val="nil"/>
              <w:right w:val="nil"/>
            </w:tcBorders>
            <w:shd w:val="clear" w:color="000000" w:fill="FFFFFF"/>
            <w:noWrap/>
            <w:hideMark/>
          </w:tcPr>
          <w:p w14:paraId="5DF00F0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0,1</w:t>
            </w:r>
          </w:p>
        </w:tc>
        <w:tc>
          <w:tcPr>
            <w:tcW w:w="1014" w:type="dxa"/>
            <w:tcBorders>
              <w:top w:val="single" w:sz="4" w:space="0" w:color="D0CECE" w:themeColor="background2" w:themeShade="E6"/>
              <w:left w:val="nil"/>
              <w:bottom w:val="nil"/>
              <w:right w:val="nil"/>
            </w:tcBorders>
            <w:shd w:val="clear" w:color="000000" w:fill="FFFFFF"/>
            <w:noWrap/>
            <w:hideMark/>
          </w:tcPr>
          <w:p w14:paraId="5D7DEC2A"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−2,9</w:t>
            </w:r>
          </w:p>
        </w:tc>
        <w:tc>
          <w:tcPr>
            <w:tcW w:w="1358" w:type="dxa"/>
            <w:tcBorders>
              <w:top w:val="single" w:sz="4" w:space="0" w:color="D0CECE" w:themeColor="background2" w:themeShade="E6"/>
              <w:left w:val="nil"/>
              <w:bottom w:val="nil"/>
              <w:right w:val="nil"/>
            </w:tcBorders>
            <w:shd w:val="clear" w:color="000000" w:fill="FFFFFF"/>
            <w:noWrap/>
            <w:hideMark/>
          </w:tcPr>
          <w:p w14:paraId="42D9F8E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−47,5</w:t>
            </w:r>
            <w:r w:rsidRPr="00367BEC">
              <w:rPr>
                <w:rFonts w:ascii="Times New Roman" w:hAnsi="Times New Roman"/>
                <w:b/>
                <w:color w:val="000000"/>
                <w:sz w:val="20"/>
                <w:vertAlign w:val="superscript"/>
              </w:rPr>
              <w:t>iii</w:t>
            </w:r>
          </w:p>
        </w:tc>
        <w:tc>
          <w:tcPr>
            <w:tcW w:w="973" w:type="dxa"/>
            <w:tcBorders>
              <w:top w:val="single" w:sz="4" w:space="0" w:color="D0CECE" w:themeColor="background2" w:themeShade="E6"/>
              <w:left w:val="nil"/>
              <w:bottom w:val="nil"/>
              <w:right w:val="nil"/>
            </w:tcBorders>
            <w:shd w:val="clear" w:color="000000" w:fill="FFFFFF"/>
            <w:noWrap/>
            <w:hideMark/>
          </w:tcPr>
          <w:p w14:paraId="3F2F64A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&lt;4 (%)</w:t>
            </w:r>
          </w:p>
        </w:tc>
        <w:tc>
          <w:tcPr>
            <w:tcW w:w="492" w:type="dxa"/>
            <w:tcBorders>
              <w:top w:val="single" w:sz="4" w:space="0" w:color="D0CECE" w:themeColor="background2" w:themeShade="E6"/>
              <w:left w:val="nil"/>
              <w:bottom w:val="nil"/>
              <w:right w:val="nil"/>
            </w:tcBorders>
            <w:shd w:val="clear" w:color="000000" w:fill="FFFFFF"/>
            <w:noWrap/>
            <w:hideMark/>
          </w:tcPr>
          <w:p w14:paraId="183447B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00" w:type="dxa"/>
            <w:gridSpan w:val="2"/>
            <w:tcBorders>
              <w:top w:val="single" w:sz="4" w:space="0" w:color="D0CECE" w:themeColor="background2" w:themeShade="E6"/>
              <w:left w:val="nil"/>
              <w:bottom w:val="nil"/>
              <w:right w:val="nil"/>
            </w:tcBorders>
            <w:shd w:val="clear" w:color="000000" w:fill="FFFFFF"/>
            <w:noWrap/>
            <w:hideMark/>
          </w:tcPr>
          <w:p w14:paraId="28B0C9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89" w:type="dxa"/>
            <w:tcBorders>
              <w:top w:val="single" w:sz="4" w:space="0" w:color="D0CECE" w:themeColor="background2" w:themeShade="E6"/>
              <w:left w:val="nil"/>
              <w:bottom w:val="nil"/>
              <w:right w:val="nil"/>
            </w:tcBorders>
            <w:shd w:val="clear" w:color="000000" w:fill="FFFFFF"/>
            <w:noWrap/>
            <w:hideMark/>
          </w:tcPr>
          <w:p w14:paraId="2131AA7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76,7</w:t>
            </w:r>
          </w:p>
        </w:tc>
        <w:tc>
          <w:tcPr>
            <w:tcW w:w="1002" w:type="dxa"/>
            <w:gridSpan w:val="2"/>
            <w:tcBorders>
              <w:top w:val="single" w:sz="4" w:space="0" w:color="D0CECE" w:themeColor="background2" w:themeShade="E6"/>
              <w:left w:val="nil"/>
              <w:bottom w:val="nil"/>
              <w:right w:val="nil"/>
            </w:tcBorders>
            <w:shd w:val="clear" w:color="000000" w:fill="FFFFFF"/>
            <w:noWrap/>
            <w:hideMark/>
          </w:tcPr>
          <w:p w14:paraId="0964D1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23</w:t>
            </w:r>
            <w:r w:rsidRPr="00367BEC">
              <w:rPr>
                <w:rFonts w:ascii="Times New Roman" w:hAnsi="Times New Roman"/>
                <w:color w:val="000000"/>
                <w:sz w:val="20"/>
              </w:rPr>
              <w:t>/30)</w:t>
            </w:r>
          </w:p>
        </w:tc>
        <w:tc>
          <w:tcPr>
            <w:tcW w:w="1023" w:type="dxa"/>
            <w:tcBorders>
              <w:top w:val="single" w:sz="4" w:space="0" w:color="D0CECE" w:themeColor="background2" w:themeShade="E6"/>
              <w:left w:val="nil"/>
              <w:bottom w:val="nil"/>
              <w:right w:val="nil"/>
            </w:tcBorders>
            <w:shd w:val="clear" w:color="000000" w:fill="FFFFFF"/>
            <w:noWrap/>
            <w:hideMark/>
          </w:tcPr>
          <w:p w14:paraId="7BC204C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71" w:type="dxa"/>
            <w:tcBorders>
              <w:top w:val="single" w:sz="4" w:space="0" w:color="D0CECE" w:themeColor="background2" w:themeShade="E6"/>
              <w:left w:val="nil"/>
              <w:bottom w:val="nil"/>
              <w:right w:val="nil"/>
            </w:tcBorders>
            <w:shd w:val="clear" w:color="000000" w:fill="FFFFFF"/>
            <w:noWrap/>
            <w:hideMark/>
          </w:tcPr>
          <w:p w14:paraId="5D3F290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CF7EF94" w14:textId="77777777" w:rsidTr="00CF1C1E">
        <w:trPr>
          <w:trHeight w:val="20"/>
        </w:trPr>
        <w:tc>
          <w:tcPr>
            <w:tcW w:w="1400" w:type="dxa"/>
            <w:tcBorders>
              <w:top w:val="nil"/>
              <w:left w:val="nil"/>
              <w:bottom w:val="nil"/>
              <w:right w:val="nil"/>
            </w:tcBorders>
            <w:shd w:val="clear" w:color="000000" w:fill="FFFFFF"/>
            <w:noWrap/>
            <w:hideMark/>
          </w:tcPr>
          <w:p w14:paraId="4B08D4C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97" w:type="dxa"/>
            <w:vMerge/>
            <w:tcBorders>
              <w:left w:val="nil"/>
              <w:right w:val="nil"/>
            </w:tcBorders>
            <w:shd w:val="clear" w:color="000000" w:fill="FFFFFF"/>
            <w:noWrap/>
            <w:hideMark/>
          </w:tcPr>
          <w:p w14:paraId="2CD8BCD4" w14:textId="77777777" w:rsidR="002E4D99" w:rsidRPr="00367BEC" w:rsidRDefault="002E4D99" w:rsidP="00CF1C1E">
            <w:pPr>
              <w:spacing w:after="0" w:line="240" w:lineRule="auto"/>
              <w:rPr>
                <w:rFonts w:ascii="Times New Roman" w:eastAsia="Times New Roman" w:hAnsi="Times New Roman" w:cs="Times New Roman"/>
                <w:color w:val="000000"/>
                <w:sz w:val="20"/>
                <w:szCs w:val="20"/>
                <w:lang w:eastAsia="es-ES"/>
              </w:rPr>
            </w:pPr>
          </w:p>
        </w:tc>
        <w:tc>
          <w:tcPr>
            <w:tcW w:w="598" w:type="dxa"/>
            <w:tcBorders>
              <w:top w:val="nil"/>
              <w:left w:val="nil"/>
              <w:bottom w:val="nil"/>
              <w:right w:val="nil"/>
            </w:tcBorders>
            <w:shd w:val="clear" w:color="000000" w:fill="FFFFFF"/>
            <w:noWrap/>
            <w:hideMark/>
          </w:tcPr>
          <w:p w14:paraId="11D0CA4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25" w:type="dxa"/>
            <w:tcBorders>
              <w:top w:val="nil"/>
              <w:left w:val="nil"/>
              <w:bottom w:val="nil"/>
              <w:right w:val="nil"/>
            </w:tcBorders>
            <w:shd w:val="clear" w:color="000000" w:fill="FFFFFF"/>
            <w:noWrap/>
            <w:hideMark/>
          </w:tcPr>
          <w:p w14:paraId="11EC3D7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48" w:type="dxa"/>
            <w:gridSpan w:val="2"/>
            <w:tcBorders>
              <w:top w:val="nil"/>
              <w:left w:val="nil"/>
              <w:bottom w:val="nil"/>
              <w:right w:val="nil"/>
            </w:tcBorders>
            <w:shd w:val="clear" w:color="000000" w:fill="FFFFFF"/>
            <w:noWrap/>
            <w:hideMark/>
          </w:tcPr>
          <w:p w14:paraId="2EFFB36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10" w:type="dxa"/>
            <w:tcBorders>
              <w:top w:val="nil"/>
              <w:left w:val="nil"/>
              <w:bottom w:val="nil"/>
              <w:right w:val="nil"/>
            </w:tcBorders>
            <w:shd w:val="clear" w:color="000000" w:fill="FFFFFF"/>
            <w:noWrap/>
            <w:hideMark/>
          </w:tcPr>
          <w:p w14:paraId="2291A1A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749" w:type="dxa"/>
            <w:gridSpan w:val="2"/>
            <w:tcBorders>
              <w:top w:val="nil"/>
              <w:left w:val="nil"/>
              <w:bottom w:val="nil"/>
              <w:right w:val="nil"/>
            </w:tcBorders>
            <w:shd w:val="clear" w:color="000000" w:fill="FFFFFF"/>
            <w:noWrap/>
            <w:hideMark/>
          </w:tcPr>
          <w:p w14:paraId="47F432F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14" w:type="dxa"/>
            <w:tcBorders>
              <w:top w:val="nil"/>
              <w:left w:val="nil"/>
              <w:bottom w:val="nil"/>
              <w:right w:val="nil"/>
            </w:tcBorders>
            <w:shd w:val="clear" w:color="000000" w:fill="FFFFFF"/>
            <w:noWrap/>
            <w:hideMark/>
          </w:tcPr>
          <w:p w14:paraId="7E54857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58" w:type="dxa"/>
            <w:tcBorders>
              <w:top w:val="nil"/>
              <w:left w:val="nil"/>
              <w:bottom w:val="nil"/>
              <w:right w:val="nil"/>
            </w:tcBorders>
            <w:shd w:val="clear" w:color="000000" w:fill="FFFFFF"/>
            <w:noWrap/>
            <w:hideMark/>
          </w:tcPr>
          <w:p w14:paraId="0B90647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973" w:type="dxa"/>
            <w:tcBorders>
              <w:top w:val="nil"/>
              <w:left w:val="nil"/>
              <w:bottom w:val="nil"/>
              <w:right w:val="nil"/>
            </w:tcBorders>
            <w:shd w:val="clear" w:color="000000" w:fill="FFFFFF"/>
            <w:noWrap/>
            <w:hideMark/>
          </w:tcPr>
          <w:p w14:paraId="3D6A30F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 (%)</w:t>
            </w:r>
          </w:p>
        </w:tc>
        <w:tc>
          <w:tcPr>
            <w:tcW w:w="492" w:type="dxa"/>
            <w:tcBorders>
              <w:top w:val="nil"/>
              <w:left w:val="nil"/>
              <w:bottom w:val="nil"/>
              <w:right w:val="nil"/>
            </w:tcBorders>
            <w:shd w:val="clear" w:color="000000" w:fill="FFFFFF"/>
            <w:noWrap/>
            <w:hideMark/>
          </w:tcPr>
          <w:p w14:paraId="2DE585D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00" w:type="dxa"/>
            <w:gridSpan w:val="2"/>
            <w:tcBorders>
              <w:top w:val="nil"/>
              <w:left w:val="nil"/>
              <w:bottom w:val="nil"/>
              <w:right w:val="nil"/>
            </w:tcBorders>
            <w:shd w:val="clear" w:color="000000" w:fill="FFFFFF"/>
            <w:noWrap/>
            <w:hideMark/>
          </w:tcPr>
          <w:p w14:paraId="594C6A9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89" w:type="dxa"/>
            <w:tcBorders>
              <w:top w:val="nil"/>
              <w:left w:val="nil"/>
              <w:bottom w:val="nil"/>
              <w:right w:val="nil"/>
            </w:tcBorders>
            <w:shd w:val="clear" w:color="000000" w:fill="FFFFFF"/>
            <w:noWrap/>
            <w:hideMark/>
          </w:tcPr>
          <w:p w14:paraId="63A1E26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100</w:t>
            </w:r>
          </w:p>
        </w:tc>
        <w:tc>
          <w:tcPr>
            <w:tcW w:w="1002" w:type="dxa"/>
            <w:gridSpan w:val="2"/>
            <w:tcBorders>
              <w:top w:val="nil"/>
              <w:left w:val="nil"/>
              <w:bottom w:val="nil"/>
              <w:right w:val="nil"/>
            </w:tcBorders>
            <w:shd w:val="clear" w:color="000000" w:fill="FFFFFF"/>
            <w:noWrap/>
            <w:hideMark/>
          </w:tcPr>
          <w:p w14:paraId="547717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30</w:t>
            </w:r>
            <w:r w:rsidRPr="00367BEC">
              <w:rPr>
                <w:rFonts w:ascii="Times New Roman" w:hAnsi="Times New Roman"/>
                <w:color w:val="000000"/>
                <w:sz w:val="20"/>
              </w:rPr>
              <w:t>/30)</w:t>
            </w:r>
          </w:p>
        </w:tc>
        <w:tc>
          <w:tcPr>
            <w:tcW w:w="1023" w:type="dxa"/>
            <w:tcBorders>
              <w:top w:val="nil"/>
              <w:left w:val="nil"/>
              <w:bottom w:val="nil"/>
              <w:right w:val="nil"/>
            </w:tcBorders>
            <w:shd w:val="clear" w:color="000000" w:fill="FFFFFF"/>
            <w:noWrap/>
            <w:hideMark/>
          </w:tcPr>
          <w:p w14:paraId="77D62F0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71" w:type="dxa"/>
            <w:tcBorders>
              <w:top w:val="nil"/>
              <w:left w:val="nil"/>
              <w:bottom w:val="nil"/>
              <w:right w:val="nil"/>
            </w:tcBorders>
            <w:shd w:val="clear" w:color="000000" w:fill="FFFFFF"/>
            <w:noWrap/>
            <w:hideMark/>
          </w:tcPr>
          <w:p w14:paraId="6ED643E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506CC81" w14:textId="77777777" w:rsidTr="00CF1C1E">
        <w:trPr>
          <w:trHeight w:val="20"/>
        </w:trPr>
        <w:tc>
          <w:tcPr>
            <w:tcW w:w="1400" w:type="dxa"/>
            <w:tcBorders>
              <w:top w:val="nil"/>
              <w:left w:val="nil"/>
              <w:bottom w:val="single" w:sz="8" w:space="0" w:color="auto"/>
              <w:right w:val="nil"/>
            </w:tcBorders>
            <w:shd w:val="clear" w:color="000000" w:fill="FFFFFF"/>
            <w:noWrap/>
            <w:hideMark/>
          </w:tcPr>
          <w:p w14:paraId="3EAEC19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97" w:type="dxa"/>
            <w:vMerge/>
            <w:tcBorders>
              <w:left w:val="nil"/>
              <w:bottom w:val="single" w:sz="8" w:space="0" w:color="auto"/>
              <w:right w:val="nil"/>
            </w:tcBorders>
            <w:shd w:val="clear" w:color="000000" w:fill="FFFFFF"/>
            <w:noWrap/>
            <w:hideMark/>
          </w:tcPr>
          <w:p w14:paraId="5145292D" w14:textId="77777777" w:rsidR="002E4D99" w:rsidRPr="00367BEC" w:rsidRDefault="002E4D99" w:rsidP="00CF1C1E">
            <w:pPr>
              <w:spacing w:after="0" w:line="240" w:lineRule="auto"/>
              <w:rPr>
                <w:rFonts w:ascii="Times New Roman" w:eastAsia="Times New Roman" w:hAnsi="Times New Roman" w:cs="Times New Roman"/>
                <w:color w:val="000000"/>
                <w:sz w:val="20"/>
                <w:szCs w:val="20"/>
                <w:lang w:eastAsia="es-ES"/>
              </w:rPr>
            </w:pPr>
          </w:p>
        </w:tc>
        <w:tc>
          <w:tcPr>
            <w:tcW w:w="598" w:type="dxa"/>
            <w:tcBorders>
              <w:top w:val="nil"/>
              <w:left w:val="nil"/>
              <w:bottom w:val="single" w:sz="8" w:space="0" w:color="auto"/>
              <w:right w:val="nil"/>
            </w:tcBorders>
            <w:shd w:val="clear" w:color="000000" w:fill="FFFFFF"/>
            <w:noWrap/>
            <w:hideMark/>
          </w:tcPr>
          <w:p w14:paraId="6549781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25" w:type="dxa"/>
            <w:tcBorders>
              <w:top w:val="nil"/>
              <w:left w:val="nil"/>
              <w:bottom w:val="single" w:sz="8" w:space="0" w:color="auto"/>
              <w:right w:val="nil"/>
            </w:tcBorders>
            <w:shd w:val="clear" w:color="000000" w:fill="FFFFFF"/>
            <w:noWrap/>
            <w:hideMark/>
          </w:tcPr>
          <w:p w14:paraId="4E90F4E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48" w:type="dxa"/>
            <w:gridSpan w:val="2"/>
            <w:tcBorders>
              <w:top w:val="nil"/>
              <w:left w:val="nil"/>
              <w:bottom w:val="single" w:sz="8" w:space="0" w:color="auto"/>
              <w:right w:val="nil"/>
            </w:tcBorders>
            <w:shd w:val="clear" w:color="000000" w:fill="FFFFFF"/>
            <w:noWrap/>
            <w:hideMark/>
          </w:tcPr>
          <w:p w14:paraId="2A1026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10" w:type="dxa"/>
            <w:tcBorders>
              <w:top w:val="nil"/>
              <w:left w:val="nil"/>
              <w:bottom w:val="single" w:sz="8" w:space="0" w:color="auto"/>
              <w:right w:val="nil"/>
            </w:tcBorders>
            <w:shd w:val="clear" w:color="000000" w:fill="FFFFFF"/>
            <w:noWrap/>
            <w:hideMark/>
          </w:tcPr>
          <w:p w14:paraId="48B4DFC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749" w:type="dxa"/>
            <w:gridSpan w:val="2"/>
            <w:tcBorders>
              <w:top w:val="nil"/>
              <w:left w:val="nil"/>
              <w:bottom w:val="single" w:sz="8" w:space="0" w:color="auto"/>
              <w:right w:val="nil"/>
            </w:tcBorders>
            <w:shd w:val="clear" w:color="000000" w:fill="FFFFFF"/>
            <w:noWrap/>
            <w:hideMark/>
          </w:tcPr>
          <w:p w14:paraId="5DF89DC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14" w:type="dxa"/>
            <w:tcBorders>
              <w:top w:val="nil"/>
              <w:left w:val="nil"/>
              <w:bottom w:val="single" w:sz="8" w:space="0" w:color="auto"/>
              <w:right w:val="nil"/>
            </w:tcBorders>
            <w:shd w:val="clear" w:color="000000" w:fill="FFFFFF"/>
            <w:noWrap/>
            <w:hideMark/>
          </w:tcPr>
          <w:p w14:paraId="25CA54C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58" w:type="dxa"/>
            <w:tcBorders>
              <w:top w:val="nil"/>
              <w:left w:val="nil"/>
              <w:bottom w:val="single" w:sz="8" w:space="0" w:color="auto"/>
              <w:right w:val="nil"/>
            </w:tcBorders>
            <w:shd w:val="clear" w:color="000000" w:fill="FFFFFF"/>
            <w:noWrap/>
            <w:hideMark/>
          </w:tcPr>
          <w:p w14:paraId="5E24376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973" w:type="dxa"/>
            <w:tcBorders>
              <w:top w:val="nil"/>
              <w:left w:val="nil"/>
              <w:bottom w:val="single" w:sz="8" w:space="0" w:color="auto"/>
              <w:right w:val="nil"/>
            </w:tcBorders>
            <w:shd w:val="clear" w:color="000000" w:fill="FFFFFF"/>
            <w:noWrap/>
            <w:hideMark/>
          </w:tcPr>
          <w:p w14:paraId="2E6F539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 (%)</w:t>
            </w:r>
          </w:p>
        </w:tc>
        <w:tc>
          <w:tcPr>
            <w:tcW w:w="492" w:type="dxa"/>
            <w:tcBorders>
              <w:top w:val="nil"/>
              <w:left w:val="nil"/>
              <w:bottom w:val="single" w:sz="8" w:space="0" w:color="auto"/>
              <w:right w:val="nil"/>
            </w:tcBorders>
            <w:shd w:val="clear" w:color="000000" w:fill="FFFFFF"/>
            <w:noWrap/>
            <w:hideMark/>
          </w:tcPr>
          <w:p w14:paraId="7FE5F55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00" w:type="dxa"/>
            <w:gridSpan w:val="2"/>
            <w:tcBorders>
              <w:top w:val="nil"/>
              <w:left w:val="nil"/>
              <w:bottom w:val="single" w:sz="8" w:space="0" w:color="auto"/>
              <w:right w:val="nil"/>
            </w:tcBorders>
            <w:shd w:val="clear" w:color="000000" w:fill="FFFFFF"/>
            <w:noWrap/>
            <w:hideMark/>
          </w:tcPr>
          <w:p w14:paraId="3402A4C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89" w:type="dxa"/>
            <w:tcBorders>
              <w:top w:val="nil"/>
              <w:left w:val="nil"/>
              <w:bottom w:val="single" w:sz="8" w:space="0" w:color="auto"/>
              <w:right w:val="nil"/>
            </w:tcBorders>
            <w:shd w:val="clear" w:color="000000" w:fill="FFFFFF"/>
            <w:noWrap/>
            <w:hideMark/>
          </w:tcPr>
          <w:p w14:paraId="64788F4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86,7</w:t>
            </w:r>
          </w:p>
        </w:tc>
        <w:tc>
          <w:tcPr>
            <w:tcW w:w="1002" w:type="dxa"/>
            <w:gridSpan w:val="2"/>
            <w:tcBorders>
              <w:top w:val="nil"/>
              <w:left w:val="nil"/>
              <w:bottom w:val="single" w:sz="8" w:space="0" w:color="auto"/>
              <w:right w:val="nil"/>
            </w:tcBorders>
            <w:shd w:val="clear" w:color="000000" w:fill="FFFFFF"/>
            <w:noWrap/>
            <w:hideMark/>
          </w:tcPr>
          <w:p w14:paraId="001CA17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26</w:t>
            </w:r>
            <w:r w:rsidRPr="00367BEC">
              <w:rPr>
                <w:rFonts w:ascii="Times New Roman" w:hAnsi="Times New Roman"/>
                <w:color w:val="000000"/>
                <w:sz w:val="20"/>
              </w:rPr>
              <w:t>/30)</w:t>
            </w:r>
          </w:p>
        </w:tc>
        <w:tc>
          <w:tcPr>
            <w:tcW w:w="1023" w:type="dxa"/>
            <w:tcBorders>
              <w:top w:val="nil"/>
              <w:left w:val="nil"/>
              <w:bottom w:val="single" w:sz="8" w:space="0" w:color="auto"/>
              <w:right w:val="nil"/>
            </w:tcBorders>
            <w:shd w:val="clear" w:color="000000" w:fill="FFFFFF"/>
            <w:noWrap/>
            <w:hideMark/>
          </w:tcPr>
          <w:p w14:paraId="656ACE1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71" w:type="dxa"/>
            <w:tcBorders>
              <w:top w:val="nil"/>
              <w:left w:val="nil"/>
              <w:bottom w:val="single" w:sz="8" w:space="0" w:color="auto"/>
              <w:right w:val="nil"/>
            </w:tcBorders>
            <w:shd w:val="clear" w:color="000000" w:fill="FFFFFF"/>
            <w:noWrap/>
            <w:hideMark/>
          </w:tcPr>
          <w:p w14:paraId="4D71E26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1A449793" w14:textId="77777777" w:rsidTr="00CF1C1E">
        <w:trPr>
          <w:trHeight w:val="20"/>
        </w:trPr>
        <w:tc>
          <w:tcPr>
            <w:tcW w:w="1400" w:type="dxa"/>
            <w:tcBorders>
              <w:top w:val="nil"/>
              <w:left w:val="nil"/>
              <w:bottom w:val="nil"/>
              <w:right w:val="nil"/>
            </w:tcBorders>
            <w:shd w:val="clear" w:color="000000" w:fill="FFFFFF"/>
            <w:noWrap/>
            <w:hideMark/>
          </w:tcPr>
          <w:p w14:paraId="10E030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Ueberall</w:t>
            </w:r>
            <w:proofErr w:type="spellEnd"/>
            <w:r w:rsidRPr="00367BEC">
              <w:rPr>
                <w:rFonts w:ascii="Times New Roman" w:hAnsi="Times New Roman"/>
                <w:color w:val="000000"/>
                <w:sz w:val="20"/>
              </w:rPr>
              <w:t xml:space="preserve"> 2016</w:t>
            </w:r>
          </w:p>
        </w:tc>
        <w:tc>
          <w:tcPr>
            <w:tcW w:w="897" w:type="dxa"/>
            <w:tcBorders>
              <w:top w:val="nil"/>
              <w:left w:val="nil"/>
              <w:bottom w:val="single" w:sz="4" w:space="0" w:color="D0CECE" w:themeColor="background2" w:themeShade="E6"/>
              <w:right w:val="nil"/>
            </w:tcBorders>
            <w:shd w:val="clear" w:color="000000" w:fill="FFFFFF"/>
            <w:noWrap/>
            <w:hideMark/>
          </w:tcPr>
          <w:p w14:paraId="03BEF9AF" w14:textId="77777777" w:rsidR="002E4D99" w:rsidRPr="00367BEC" w:rsidRDefault="002E4D99" w:rsidP="00CF1C1E">
            <w:pPr>
              <w:spacing w:after="0" w:line="240" w:lineRule="auto"/>
              <w:rPr>
                <w:rFonts w:ascii="Times" w:eastAsia="Times New Roman" w:hAnsi="Times" w:cs="Times"/>
                <w:color w:val="000000"/>
                <w:sz w:val="20"/>
                <w:szCs w:val="20"/>
              </w:rPr>
            </w:pPr>
            <w:r w:rsidRPr="00367BEC">
              <w:rPr>
                <w:rFonts w:ascii="Times" w:hAnsi="Times"/>
                <w:color w:val="000000"/>
                <w:sz w:val="20"/>
              </w:rPr>
              <w:t>TAP</w:t>
            </w:r>
          </w:p>
        </w:tc>
        <w:tc>
          <w:tcPr>
            <w:tcW w:w="598" w:type="dxa"/>
            <w:tcBorders>
              <w:top w:val="nil"/>
              <w:left w:val="nil"/>
              <w:bottom w:val="single" w:sz="4" w:space="0" w:color="D0CECE" w:themeColor="background2" w:themeShade="E6"/>
              <w:right w:val="nil"/>
            </w:tcBorders>
            <w:shd w:val="clear" w:color="000000" w:fill="FFFFFF"/>
            <w:noWrap/>
            <w:hideMark/>
          </w:tcPr>
          <w:p w14:paraId="507D63E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PDQ</w:t>
            </w:r>
            <w:r w:rsidRPr="00367BEC">
              <w:rPr>
                <w:rFonts w:ascii="Times New Roman" w:hAnsi="Times New Roman"/>
                <w:color w:val="000000"/>
                <w:sz w:val="20"/>
                <w:vertAlign w:val="subscript"/>
              </w:rPr>
              <w:t>7</w:t>
            </w:r>
          </w:p>
        </w:tc>
        <w:tc>
          <w:tcPr>
            <w:tcW w:w="489" w:type="dxa"/>
            <w:gridSpan w:val="2"/>
            <w:tcBorders>
              <w:top w:val="nil"/>
              <w:left w:val="nil"/>
              <w:bottom w:val="single" w:sz="4" w:space="0" w:color="D0CECE" w:themeColor="background2" w:themeShade="E6"/>
              <w:right w:val="nil"/>
            </w:tcBorders>
            <w:shd w:val="clear" w:color="000000" w:fill="FFFFFF"/>
            <w:noWrap/>
            <w:hideMark/>
          </w:tcPr>
          <w:p w14:paraId="756F3B2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17,7</w:t>
            </w:r>
          </w:p>
        </w:tc>
        <w:tc>
          <w:tcPr>
            <w:tcW w:w="884" w:type="dxa"/>
            <w:tcBorders>
              <w:top w:val="nil"/>
              <w:left w:val="nil"/>
              <w:bottom w:val="single" w:sz="4" w:space="0" w:color="D0CECE" w:themeColor="background2" w:themeShade="E6"/>
              <w:right w:val="nil"/>
            </w:tcBorders>
            <w:shd w:val="clear" w:color="000000" w:fill="FFFFFF"/>
            <w:noWrap/>
            <w:hideMark/>
          </w:tcPr>
          <w:p w14:paraId="473D795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(3,4)</w:t>
            </w:r>
          </w:p>
        </w:tc>
        <w:tc>
          <w:tcPr>
            <w:tcW w:w="406" w:type="dxa"/>
            <w:gridSpan w:val="2"/>
            <w:tcBorders>
              <w:top w:val="nil"/>
              <w:left w:val="nil"/>
              <w:bottom w:val="single" w:sz="4" w:space="0" w:color="D0CECE" w:themeColor="background2" w:themeShade="E6"/>
              <w:right w:val="nil"/>
            </w:tcBorders>
            <w:shd w:val="clear" w:color="000000" w:fill="FFFFFF"/>
            <w:noWrap/>
            <w:hideMark/>
          </w:tcPr>
          <w:p w14:paraId="1C65231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12,7</w:t>
            </w:r>
          </w:p>
        </w:tc>
        <w:tc>
          <w:tcPr>
            <w:tcW w:w="653" w:type="dxa"/>
            <w:tcBorders>
              <w:top w:val="nil"/>
              <w:left w:val="nil"/>
              <w:bottom w:val="single" w:sz="4" w:space="0" w:color="D0CECE" w:themeColor="background2" w:themeShade="E6"/>
              <w:right w:val="nil"/>
            </w:tcBorders>
            <w:shd w:val="clear" w:color="000000" w:fill="FFFFFF"/>
            <w:noWrap/>
            <w:hideMark/>
          </w:tcPr>
          <w:p w14:paraId="6EFF5E4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(5,2)</w:t>
            </w:r>
          </w:p>
        </w:tc>
        <w:tc>
          <w:tcPr>
            <w:tcW w:w="1014" w:type="dxa"/>
            <w:tcBorders>
              <w:top w:val="nil"/>
              <w:left w:val="nil"/>
              <w:bottom w:val="single" w:sz="4" w:space="0" w:color="D0CECE" w:themeColor="background2" w:themeShade="E6"/>
              <w:right w:val="nil"/>
            </w:tcBorders>
            <w:shd w:val="clear" w:color="000000" w:fill="FFFFFF"/>
            <w:noWrap/>
            <w:hideMark/>
          </w:tcPr>
          <w:p w14:paraId="55D0A3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−5,0</w:t>
            </w:r>
          </w:p>
        </w:tc>
        <w:tc>
          <w:tcPr>
            <w:tcW w:w="1358" w:type="dxa"/>
            <w:tcBorders>
              <w:top w:val="nil"/>
              <w:left w:val="nil"/>
              <w:bottom w:val="single" w:sz="4" w:space="0" w:color="D0CECE" w:themeColor="background2" w:themeShade="E6"/>
              <w:right w:val="nil"/>
            </w:tcBorders>
            <w:shd w:val="clear" w:color="000000" w:fill="FFFFFF"/>
            <w:noWrap/>
            <w:hideMark/>
          </w:tcPr>
          <w:p w14:paraId="401C8F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−28,2</w:t>
            </w:r>
            <w:r w:rsidRPr="00367BEC">
              <w:rPr>
                <w:rFonts w:ascii="Times New Roman" w:hAnsi="Times New Roman"/>
                <w:b/>
                <w:color w:val="000000"/>
                <w:sz w:val="20"/>
                <w:vertAlign w:val="superscript"/>
              </w:rPr>
              <w:t>iii</w:t>
            </w:r>
          </w:p>
        </w:tc>
        <w:tc>
          <w:tcPr>
            <w:tcW w:w="973" w:type="dxa"/>
            <w:tcBorders>
              <w:top w:val="nil"/>
              <w:left w:val="nil"/>
              <w:bottom w:val="single" w:sz="4" w:space="0" w:color="D0CECE" w:themeColor="background2" w:themeShade="E6"/>
              <w:right w:val="nil"/>
            </w:tcBorders>
            <w:shd w:val="clear" w:color="000000" w:fill="FFFFFF"/>
            <w:noWrap/>
            <w:hideMark/>
          </w:tcPr>
          <w:p w14:paraId="22C7AD2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19-35 (%)</w:t>
            </w:r>
          </w:p>
        </w:tc>
        <w:tc>
          <w:tcPr>
            <w:tcW w:w="492" w:type="dxa"/>
            <w:tcBorders>
              <w:top w:val="nil"/>
              <w:left w:val="nil"/>
              <w:bottom w:val="single" w:sz="4" w:space="0" w:color="D0CECE" w:themeColor="background2" w:themeShade="E6"/>
              <w:right w:val="nil"/>
            </w:tcBorders>
            <w:shd w:val="clear" w:color="000000" w:fill="FFFFFF"/>
            <w:noWrap/>
            <w:hideMark/>
          </w:tcPr>
          <w:p w14:paraId="614AC73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36,8</w:t>
            </w:r>
          </w:p>
        </w:tc>
        <w:tc>
          <w:tcPr>
            <w:tcW w:w="1000" w:type="dxa"/>
            <w:gridSpan w:val="2"/>
            <w:tcBorders>
              <w:top w:val="nil"/>
              <w:left w:val="nil"/>
              <w:bottom w:val="single" w:sz="4" w:space="0" w:color="D0CECE" w:themeColor="background2" w:themeShade="E6"/>
              <w:right w:val="nil"/>
            </w:tcBorders>
            <w:shd w:val="clear" w:color="000000" w:fill="FFFFFF"/>
            <w:noWrap/>
            <w:hideMark/>
          </w:tcPr>
          <w:p w14:paraId="0CCAB56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(49/133)</w:t>
            </w:r>
          </w:p>
        </w:tc>
        <w:tc>
          <w:tcPr>
            <w:tcW w:w="489" w:type="dxa"/>
            <w:tcBorders>
              <w:top w:val="nil"/>
              <w:left w:val="nil"/>
              <w:bottom w:val="single" w:sz="4" w:space="0" w:color="D0CECE" w:themeColor="background2" w:themeShade="E6"/>
              <w:right w:val="nil"/>
            </w:tcBorders>
            <w:shd w:val="clear" w:color="000000" w:fill="FFFFFF"/>
            <w:noWrap/>
            <w:hideMark/>
          </w:tcPr>
          <w:p w14:paraId="579EBB8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21,8</w:t>
            </w:r>
          </w:p>
        </w:tc>
        <w:tc>
          <w:tcPr>
            <w:tcW w:w="1002" w:type="dxa"/>
            <w:gridSpan w:val="2"/>
            <w:tcBorders>
              <w:top w:val="nil"/>
              <w:left w:val="nil"/>
              <w:bottom w:val="single" w:sz="4" w:space="0" w:color="D0CECE" w:themeColor="background2" w:themeShade="E6"/>
              <w:right w:val="nil"/>
            </w:tcBorders>
            <w:shd w:val="clear" w:color="000000" w:fill="FFFFFF"/>
            <w:noWrap/>
            <w:hideMark/>
          </w:tcPr>
          <w:p w14:paraId="7F8D65A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(29/133)</w:t>
            </w:r>
          </w:p>
        </w:tc>
        <w:tc>
          <w:tcPr>
            <w:tcW w:w="1023" w:type="dxa"/>
            <w:tcBorders>
              <w:top w:val="nil"/>
              <w:left w:val="nil"/>
              <w:bottom w:val="single" w:sz="4" w:space="0" w:color="D0CECE" w:themeColor="background2" w:themeShade="E6"/>
              <w:right w:val="nil"/>
            </w:tcBorders>
            <w:shd w:val="clear" w:color="000000" w:fill="FFFFFF"/>
            <w:noWrap/>
            <w:hideMark/>
          </w:tcPr>
          <w:p w14:paraId="6E81FE0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−15,0</w:t>
            </w:r>
          </w:p>
        </w:tc>
        <w:tc>
          <w:tcPr>
            <w:tcW w:w="1371" w:type="dxa"/>
            <w:tcBorders>
              <w:top w:val="nil"/>
              <w:left w:val="nil"/>
              <w:bottom w:val="single" w:sz="4" w:space="0" w:color="D0CECE" w:themeColor="background2" w:themeShade="E6"/>
              <w:right w:val="nil"/>
            </w:tcBorders>
            <w:shd w:val="clear" w:color="000000" w:fill="FFFFFF"/>
            <w:noWrap/>
            <w:hideMark/>
          </w:tcPr>
          <w:p w14:paraId="0BFA3EB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−40,8</w:t>
            </w:r>
          </w:p>
        </w:tc>
      </w:tr>
      <w:tr w:rsidR="002E4D99" w:rsidRPr="00367BEC" w14:paraId="55762E8A" w14:textId="77777777" w:rsidTr="00CF1C1E">
        <w:trPr>
          <w:trHeight w:val="20"/>
        </w:trPr>
        <w:tc>
          <w:tcPr>
            <w:tcW w:w="1400" w:type="dxa"/>
            <w:tcBorders>
              <w:top w:val="nil"/>
              <w:left w:val="nil"/>
              <w:bottom w:val="nil"/>
              <w:right w:val="nil"/>
            </w:tcBorders>
            <w:shd w:val="clear" w:color="000000" w:fill="FFFFFF"/>
            <w:noWrap/>
            <w:hideMark/>
          </w:tcPr>
          <w:p w14:paraId="5477928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97" w:type="dxa"/>
            <w:tcBorders>
              <w:top w:val="single" w:sz="4" w:space="0" w:color="D0CECE" w:themeColor="background2" w:themeShade="E6"/>
              <w:left w:val="nil"/>
              <w:bottom w:val="nil"/>
              <w:right w:val="nil"/>
            </w:tcBorders>
            <w:shd w:val="clear" w:color="000000" w:fill="FFFFFF"/>
            <w:noWrap/>
            <w:hideMark/>
          </w:tcPr>
          <w:p w14:paraId="0A3C503C" w14:textId="77777777" w:rsidR="002E4D99" w:rsidRPr="00367BEC" w:rsidRDefault="002E4D99" w:rsidP="00CF1C1E">
            <w:pPr>
              <w:spacing w:after="0" w:line="240" w:lineRule="auto"/>
              <w:rPr>
                <w:rFonts w:ascii="Times" w:eastAsia="Times New Roman" w:hAnsi="Times" w:cs="Times"/>
                <w:color w:val="000000"/>
                <w:sz w:val="20"/>
                <w:szCs w:val="20"/>
              </w:rPr>
            </w:pPr>
            <w:r w:rsidRPr="00367BEC">
              <w:rPr>
                <w:rFonts w:ascii="Times" w:hAnsi="Times"/>
                <w:color w:val="000000"/>
                <w:sz w:val="20"/>
              </w:rPr>
              <w:t>OXN</w:t>
            </w:r>
          </w:p>
        </w:tc>
        <w:tc>
          <w:tcPr>
            <w:tcW w:w="598" w:type="dxa"/>
            <w:tcBorders>
              <w:top w:val="single" w:sz="4" w:space="0" w:color="D0CECE" w:themeColor="background2" w:themeShade="E6"/>
              <w:left w:val="nil"/>
              <w:bottom w:val="nil"/>
              <w:right w:val="nil"/>
            </w:tcBorders>
            <w:shd w:val="clear" w:color="000000" w:fill="FFFFFF"/>
            <w:noWrap/>
            <w:hideMark/>
          </w:tcPr>
          <w:p w14:paraId="46DEBA7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PDQ</w:t>
            </w:r>
            <w:r w:rsidRPr="00367BEC">
              <w:rPr>
                <w:rFonts w:ascii="Times New Roman" w:hAnsi="Times New Roman"/>
                <w:color w:val="000000"/>
                <w:sz w:val="20"/>
                <w:vertAlign w:val="subscript"/>
              </w:rPr>
              <w:t>7</w:t>
            </w:r>
          </w:p>
        </w:tc>
        <w:tc>
          <w:tcPr>
            <w:tcW w:w="489" w:type="dxa"/>
            <w:gridSpan w:val="2"/>
            <w:tcBorders>
              <w:top w:val="single" w:sz="4" w:space="0" w:color="D0CECE" w:themeColor="background2" w:themeShade="E6"/>
              <w:left w:val="nil"/>
              <w:bottom w:val="nil"/>
              <w:right w:val="nil"/>
            </w:tcBorders>
            <w:shd w:val="clear" w:color="000000" w:fill="FFFFFF"/>
            <w:noWrap/>
            <w:hideMark/>
          </w:tcPr>
          <w:p w14:paraId="69A3D7D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18,2</w:t>
            </w:r>
          </w:p>
        </w:tc>
        <w:tc>
          <w:tcPr>
            <w:tcW w:w="884" w:type="dxa"/>
            <w:tcBorders>
              <w:top w:val="single" w:sz="4" w:space="0" w:color="D0CECE" w:themeColor="background2" w:themeShade="E6"/>
              <w:left w:val="nil"/>
              <w:bottom w:val="nil"/>
              <w:right w:val="nil"/>
            </w:tcBorders>
            <w:shd w:val="clear" w:color="000000" w:fill="FFFFFF"/>
            <w:noWrap/>
            <w:hideMark/>
          </w:tcPr>
          <w:p w14:paraId="4D9D56C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w:t>
            </w:r>
          </w:p>
        </w:tc>
        <w:tc>
          <w:tcPr>
            <w:tcW w:w="406" w:type="dxa"/>
            <w:gridSpan w:val="2"/>
            <w:tcBorders>
              <w:top w:val="single" w:sz="4" w:space="0" w:color="D0CECE" w:themeColor="background2" w:themeShade="E6"/>
              <w:left w:val="nil"/>
              <w:bottom w:val="nil"/>
              <w:right w:val="nil"/>
            </w:tcBorders>
            <w:shd w:val="clear" w:color="000000" w:fill="FFFFFF"/>
            <w:noWrap/>
            <w:hideMark/>
          </w:tcPr>
          <w:p w14:paraId="28172F8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12,4</w:t>
            </w:r>
          </w:p>
        </w:tc>
        <w:tc>
          <w:tcPr>
            <w:tcW w:w="653" w:type="dxa"/>
            <w:tcBorders>
              <w:top w:val="single" w:sz="4" w:space="0" w:color="D0CECE" w:themeColor="background2" w:themeShade="E6"/>
              <w:left w:val="nil"/>
              <w:bottom w:val="nil"/>
              <w:right w:val="nil"/>
            </w:tcBorders>
            <w:shd w:val="clear" w:color="000000" w:fill="FFFFFF"/>
            <w:noWrap/>
            <w:hideMark/>
          </w:tcPr>
          <w:p w14:paraId="1C86B44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(6,3)</w:t>
            </w:r>
          </w:p>
        </w:tc>
        <w:tc>
          <w:tcPr>
            <w:tcW w:w="1014" w:type="dxa"/>
            <w:tcBorders>
              <w:top w:val="single" w:sz="4" w:space="0" w:color="D0CECE" w:themeColor="background2" w:themeShade="E6"/>
              <w:left w:val="nil"/>
              <w:bottom w:val="single" w:sz="4" w:space="0" w:color="auto"/>
              <w:right w:val="nil"/>
            </w:tcBorders>
            <w:shd w:val="clear" w:color="000000" w:fill="FFFFFF"/>
            <w:noWrap/>
            <w:hideMark/>
          </w:tcPr>
          <w:p w14:paraId="76BE825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−5,8</w:t>
            </w:r>
          </w:p>
        </w:tc>
        <w:tc>
          <w:tcPr>
            <w:tcW w:w="1358" w:type="dxa"/>
            <w:tcBorders>
              <w:top w:val="single" w:sz="4" w:space="0" w:color="D0CECE" w:themeColor="background2" w:themeShade="E6"/>
              <w:left w:val="nil"/>
              <w:bottom w:val="single" w:sz="4" w:space="0" w:color="auto"/>
              <w:right w:val="nil"/>
            </w:tcBorders>
            <w:shd w:val="clear" w:color="000000" w:fill="FFFFFF"/>
            <w:noWrap/>
            <w:hideMark/>
          </w:tcPr>
          <w:p w14:paraId="059A7A0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−31,9</w:t>
            </w:r>
            <w:r w:rsidRPr="00367BEC">
              <w:rPr>
                <w:rFonts w:ascii="Times New Roman" w:hAnsi="Times New Roman"/>
                <w:b/>
                <w:color w:val="000000"/>
                <w:sz w:val="20"/>
                <w:vertAlign w:val="superscript"/>
              </w:rPr>
              <w:t>iii</w:t>
            </w:r>
          </w:p>
        </w:tc>
        <w:tc>
          <w:tcPr>
            <w:tcW w:w="973" w:type="dxa"/>
            <w:tcBorders>
              <w:top w:val="single" w:sz="4" w:space="0" w:color="D0CECE" w:themeColor="background2" w:themeShade="E6"/>
              <w:left w:val="nil"/>
              <w:bottom w:val="single" w:sz="4" w:space="0" w:color="auto"/>
              <w:right w:val="nil"/>
            </w:tcBorders>
            <w:shd w:val="clear" w:color="000000" w:fill="FFFFFF"/>
            <w:noWrap/>
            <w:hideMark/>
          </w:tcPr>
          <w:p w14:paraId="12482A4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19-35 (%)</w:t>
            </w:r>
          </w:p>
        </w:tc>
        <w:tc>
          <w:tcPr>
            <w:tcW w:w="492" w:type="dxa"/>
            <w:tcBorders>
              <w:top w:val="single" w:sz="4" w:space="0" w:color="D0CECE" w:themeColor="background2" w:themeShade="E6"/>
              <w:left w:val="nil"/>
              <w:bottom w:val="nil"/>
              <w:right w:val="nil"/>
            </w:tcBorders>
            <w:shd w:val="clear" w:color="000000" w:fill="FFFFFF"/>
            <w:noWrap/>
            <w:hideMark/>
          </w:tcPr>
          <w:p w14:paraId="758B719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46,9</w:t>
            </w:r>
          </w:p>
        </w:tc>
        <w:tc>
          <w:tcPr>
            <w:tcW w:w="1000" w:type="dxa"/>
            <w:gridSpan w:val="2"/>
            <w:tcBorders>
              <w:top w:val="single" w:sz="4" w:space="0" w:color="D0CECE" w:themeColor="background2" w:themeShade="E6"/>
              <w:left w:val="nil"/>
              <w:bottom w:val="nil"/>
              <w:right w:val="nil"/>
            </w:tcBorders>
            <w:shd w:val="clear" w:color="000000" w:fill="FFFFFF"/>
            <w:noWrap/>
            <w:hideMark/>
          </w:tcPr>
          <w:p w14:paraId="0191686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(60/128)</w:t>
            </w:r>
          </w:p>
        </w:tc>
        <w:tc>
          <w:tcPr>
            <w:tcW w:w="489" w:type="dxa"/>
            <w:tcBorders>
              <w:top w:val="single" w:sz="4" w:space="0" w:color="D0CECE" w:themeColor="background2" w:themeShade="E6"/>
              <w:left w:val="nil"/>
              <w:bottom w:val="nil"/>
              <w:right w:val="nil"/>
            </w:tcBorders>
            <w:shd w:val="clear" w:color="000000" w:fill="FFFFFF"/>
            <w:noWrap/>
            <w:hideMark/>
          </w:tcPr>
          <w:p w14:paraId="425DFF7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20,3</w:t>
            </w:r>
          </w:p>
        </w:tc>
        <w:tc>
          <w:tcPr>
            <w:tcW w:w="1002" w:type="dxa"/>
            <w:gridSpan w:val="2"/>
            <w:tcBorders>
              <w:top w:val="single" w:sz="4" w:space="0" w:color="D0CECE" w:themeColor="background2" w:themeShade="E6"/>
              <w:left w:val="nil"/>
              <w:bottom w:val="nil"/>
              <w:right w:val="nil"/>
            </w:tcBorders>
            <w:shd w:val="clear" w:color="000000" w:fill="FFFFFF"/>
            <w:noWrap/>
            <w:hideMark/>
          </w:tcPr>
          <w:p w14:paraId="2B1E7B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(26/128)</w:t>
            </w:r>
          </w:p>
        </w:tc>
        <w:tc>
          <w:tcPr>
            <w:tcW w:w="1023" w:type="dxa"/>
            <w:tcBorders>
              <w:top w:val="single" w:sz="4" w:space="0" w:color="D0CECE" w:themeColor="background2" w:themeShade="E6"/>
              <w:left w:val="nil"/>
              <w:bottom w:val="single" w:sz="4" w:space="0" w:color="auto"/>
              <w:right w:val="nil"/>
            </w:tcBorders>
            <w:shd w:val="clear" w:color="000000" w:fill="FFFFFF"/>
            <w:noWrap/>
            <w:hideMark/>
          </w:tcPr>
          <w:p w14:paraId="4B6972A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−26,6</w:t>
            </w:r>
          </w:p>
        </w:tc>
        <w:tc>
          <w:tcPr>
            <w:tcW w:w="1371" w:type="dxa"/>
            <w:tcBorders>
              <w:top w:val="single" w:sz="4" w:space="0" w:color="D0CECE" w:themeColor="background2" w:themeShade="E6"/>
              <w:left w:val="nil"/>
              <w:bottom w:val="single" w:sz="4" w:space="0" w:color="auto"/>
              <w:right w:val="nil"/>
            </w:tcBorders>
            <w:shd w:val="clear" w:color="000000" w:fill="FFFFFF"/>
            <w:noWrap/>
            <w:hideMark/>
          </w:tcPr>
          <w:p w14:paraId="2761293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−56,7</w:t>
            </w:r>
          </w:p>
        </w:tc>
      </w:tr>
      <w:tr w:rsidR="002E4D99" w:rsidRPr="00367BEC" w14:paraId="7D3900AB" w14:textId="77777777" w:rsidTr="00CF1C1E">
        <w:trPr>
          <w:trHeight w:val="20"/>
        </w:trPr>
        <w:tc>
          <w:tcPr>
            <w:tcW w:w="1400" w:type="dxa"/>
            <w:tcBorders>
              <w:top w:val="single" w:sz="8" w:space="0" w:color="auto"/>
              <w:left w:val="nil"/>
              <w:bottom w:val="single" w:sz="8" w:space="0" w:color="auto"/>
              <w:right w:val="nil"/>
            </w:tcBorders>
            <w:shd w:val="clear" w:color="000000" w:fill="FFFFFF"/>
            <w:noWrap/>
            <w:hideMark/>
          </w:tcPr>
          <w:p w14:paraId="31E459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Brunetti 2016</w:t>
            </w:r>
          </w:p>
        </w:tc>
        <w:tc>
          <w:tcPr>
            <w:tcW w:w="897" w:type="dxa"/>
            <w:tcBorders>
              <w:top w:val="single" w:sz="8" w:space="0" w:color="auto"/>
              <w:left w:val="nil"/>
              <w:bottom w:val="single" w:sz="8" w:space="0" w:color="auto"/>
              <w:right w:val="nil"/>
            </w:tcBorders>
            <w:shd w:val="clear" w:color="000000" w:fill="FFFFFF"/>
            <w:noWrap/>
            <w:hideMark/>
          </w:tcPr>
          <w:p w14:paraId="205D5AC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598" w:type="dxa"/>
            <w:tcBorders>
              <w:top w:val="single" w:sz="8" w:space="0" w:color="auto"/>
              <w:left w:val="nil"/>
              <w:bottom w:val="single" w:sz="8" w:space="0" w:color="auto"/>
              <w:right w:val="nil"/>
            </w:tcBorders>
            <w:shd w:val="clear" w:color="000000" w:fill="FFFFFF"/>
            <w:noWrap/>
            <w:hideMark/>
          </w:tcPr>
          <w:p w14:paraId="386FBD7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DN4</w:t>
            </w:r>
          </w:p>
        </w:tc>
        <w:tc>
          <w:tcPr>
            <w:tcW w:w="489" w:type="dxa"/>
            <w:gridSpan w:val="2"/>
            <w:tcBorders>
              <w:top w:val="single" w:sz="8" w:space="0" w:color="auto"/>
              <w:left w:val="nil"/>
              <w:bottom w:val="single" w:sz="8" w:space="0" w:color="auto"/>
              <w:right w:val="nil"/>
            </w:tcBorders>
            <w:shd w:val="clear" w:color="000000" w:fill="FFFFFF"/>
            <w:noWrap/>
            <w:hideMark/>
          </w:tcPr>
          <w:p w14:paraId="31C5254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84" w:type="dxa"/>
            <w:tcBorders>
              <w:top w:val="single" w:sz="8" w:space="0" w:color="auto"/>
              <w:left w:val="nil"/>
              <w:bottom w:val="single" w:sz="8" w:space="0" w:color="auto"/>
              <w:right w:val="nil"/>
            </w:tcBorders>
            <w:shd w:val="clear" w:color="000000" w:fill="FFFFFF"/>
            <w:noWrap/>
            <w:hideMark/>
          </w:tcPr>
          <w:p w14:paraId="7334B9F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06" w:type="dxa"/>
            <w:gridSpan w:val="2"/>
            <w:tcBorders>
              <w:top w:val="single" w:sz="8" w:space="0" w:color="auto"/>
              <w:left w:val="nil"/>
              <w:bottom w:val="single" w:sz="8" w:space="0" w:color="auto"/>
              <w:right w:val="nil"/>
            </w:tcBorders>
            <w:shd w:val="clear" w:color="000000" w:fill="FFFFFF"/>
            <w:noWrap/>
            <w:hideMark/>
          </w:tcPr>
          <w:p w14:paraId="48CFEF8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53" w:type="dxa"/>
            <w:tcBorders>
              <w:top w:val="single" w:sz="8" w:space="0" w:color="auto"/>
              <w:left w:val="nil"/>
              <w:bottom w:val="single" w:sz="8" w:space="0" w:color="auto"/>
              <w:right w:val="nil"/>
            </w:tcBorders>
            <w:shd w:val="clear" w:color="000000" w:fill="FFFFFF"/>
            <w:noWrap/>
            <w:hideMark/>
          </w:tcPr>
          <w:p w14:paraId="6C251F54" w14:textId="77777777" w:rsidR="002E4D99" w:rsidRPr="00367BEC" w:rsidRDefault="002E4D99" w:rsidP="00CF1C1E">
            <w:pPr>
              <w:spacing w:after="0" w:line="240" w:lineRule="auto"/>
              <w:rPr>
                <w:rFonts w:ascii="Times New Roman" w:eastAsia="Times New Roman" w:hAnsi="Times New Roman" w:cs="Times New Roman"/>
                <w:color w:val="000000"/>
                <w:sz w:val="20"/>
                <w:szCs w:val="20"/>
                <w:lang w:eastAsia="es-ES"/>
              </w:rPr>
            </w:pPr>
          </w:p>
        </w:tc>
        <w:tc>
          <w:tcPr>
            <w:tcW w:w="1014" w:type="dxa"/>
            <w:tcBorders>
              <w:top w:val="single" w:sz="8" w:space="0" w:color="auto"/>
              <w:left w:val="nil"/>
              <w:bottom w:val="single" w:sz="8" w:space="0" w:color="auto"/>
              <w:right w:val="nil"/>
            </w:tcBorders>
            <w:shd w:val="clear" w:color="000000" w:fill="FFFFFF"/>
            <w:noWrap/>
            <w:hideMark/>
          </w:tcPr>
          <w:p w14:paraId="672FBB1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58" w:type="dxa"/>
            <w:tcBorders>
              <w:top w:val="single" w:sz="8" w:space="0" w:color="auto"/>
              <w:left w:val="nil"/>
              <w:bottom w:val="single" w:sz="8" w:space="0" w:color="auto"/>
              <w:right w:val="nil"/>
            </w:tcBorders>
            <w:shd w:val="clear" w:color="000000" w:fill="FFFFFF"/>
            <w:noWrap/>
            <w:hideMark/>
          </w:tcPr>
          <w:p w14:paraId="2D288E9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Mejora</w:t>
            </w:r>
            <w:r w:rsidRPr="00367BEC">
              <w:rPr>
                <w:rFonts w:ascii="Times New Roman" w:hAnsi="Times New Roman"/>
                <w:b/>
                <w:color w:val="000000"/>
                <w:sz w:val="20"/>
                <w:vertAlign w:val="superscript"/>
              </w:rPr>
              <w:t>ii</w:t>
            </w:r>
            <w:proofErr w:type="spellEnd"/>
          </w:p>
        </w:tc>
        <w:tc>
          <w:tcPr>
            <w:tcW w:w="973" w:type="dxa"/>
            <w:tcBorders>
              <w:top w:val="single" w:sz="8" w:space="0" w:color="auto"/>
              <w:left w:val="nil"/>
              <w:bottom w:val="single" w:sz="8" w:space="0" w:color="auto"/>
              <w:right w:val="nil"/>
            </w:tcBorders>
            <w:shd w:val="clear" w:color="000000" w:fill="FFFFFF"/>
            <w:noWrap/>
            <w:hideMark/>
          </w:tcPr>
          <w:p w14:paraId="07F1E8C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 (%)</w:t>
            </w:r>
          </w:p>
        </w:tc>
        <w:tc>
          <w:tcPr>
            <w:tcW w:w="492" w:type="dxa"/>
            <w:tcBorders>
              <w:top w:val="single" w:sz="8" w:space="0" w:color="auto"/>
              <w:left w:val="nil"/>
              <w:bottom w:val="single" w:sz="8" w:space="0" w:color="auto"/>
              <w:right w:val="nil"/>
            </w:tcBorders>
            <w:shd w:val="clear" w:color="000000" w:fill="FFFFFF"/>
            <w:noWrap/>
            <w:hideMark/>
          </w:tcPr>
          <w:p w14:paraId="667CED0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56,0</w:t>
            </w:r>
          </w:p>
        </w:tc>
        <w:tc>
          <w:tcPr>
            <w:tcW w:w="1000" w:type="dxa"/>
            <w:gridSpan w:val="2"/>
            <w:tcBorders>
              <w:top w:val="single" w:sz="8" w:space="0" w:color="auto"/>
              <w:left w:val="nil"/>
              <w:bottom w:val="single" w:sz="8" w:space="0" w:color="auto"/>
              <w:right w:val="nil"/>
            </w:tcBorders>
            <w:shd w:val="clear" w:color="000000" w:fill="FFFFFF"/>
            <w:noWrap/>
            <w:hideMark/>
          </w:tcPr>
          <w:p w14:paraId="619EA0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(20/36)</w:t>
            </w:r>
          </w:p>
        </w:tc>
        <w:tc>
          <w:tcPr>
            <w:tcW w:w="489" w:type="dxa"/>
            <w:tcBorders>
              <w:top w:val="single" w:sz="8" w:space="0" w:color="auto"/>
              <w:left w:val="nil"/>
              <w:bottom w:val="single" w:sz="8" w:space="0" w:color="auto"/>
              <w:right w:val="nil"/>
            </w:tcBorders>
            <w:shd w:val="clear" w:color="000000" w:fill="FFFFFF"/>
            <w:noWrap/>
            <w:hideMark/>
          </w:tcPr>
          <w:p w14:paraId="1D7C6E5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8,0</w:t>
            </w:r>
          </w:p>
        </w:tc>
        <w:tc>
          <w:tcPr>
            <w:tcW w:w="1002" w:type="dxa"/>
            <w:gridSpan w:val="2"/>
            <w:tcBorders>
              <w:top w:val="single" w:sz="8" w:space="0" w:color="auto"/>
              <w:left w:val="nil"/>
              <w:bottom w:val="single" w:sz="8" w:space="0" w:color="auto"/>
              <w:right w:val="nil"/>
            </w:tcBorders>
            <w:shd w:val="clear" w:color="000000" w:fill="FFFFFF"/>
            <w:noWrap/>
            <w:hideMark/>
          </w:tcPr>
          <w:p w14:paraId="49A251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(3/36)</w:t>
            </w:r>
          </w:p>
        </w:tc>
        <w:tc>
          <w:tcPr>
            <w:tcW w:w="1023" w:type="dxa"/>
            <w:tcBorders>
              <w:top w:val="single" w:sz="8" w:space="0" w:color="auto"/>
              <w:left w:val="nil"/>
              <w:bottom w:val="single" w:sz="8" w:space="0" w:color="auto"/>
              <w:right w:val="nil"/>
            </w:tcBorders>
            <w:shd w:val="clear" w:color="000000" w:fill="FFFFFF"/>
            <w:noWrap/>
            <w:hideMark/>
          </w:tcPr>
          <w:p w14:paraId="732B0C42"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−48,0</w:t>
            </w:r>
          </w:p>
        </w:tc>
        <w:tc>
          <w:tcPr>
            <w:tcW w:w="1371" w:type="dxa"/>
            <w:tcBorders>
              <w:top w:val="single" w:sz="8" w:space="0" w:color="auto"/>
              <w:left w:val="nil"/>
              <w:bottom w:val="single" w:sz="8" w:space="0" w:color="auto"/>
              <w:right w:val="nil"/>
            </w:tcBorders>
            <w:shd w:val="clear" w:color="000000" w:fill="FFFFFF"/>
            <w:noWrap/>
            <w:hideMark/>
          </w:tcPr>
          <w:p w14:paraId="558227A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−85,7</w:t>
            </w:r>
          </w:p>
        </w:tc>
      </w:tr>
      <w:tr w:rsidR="002E4D99" w:rsidRPr="00367BEC" w14:paraId="57ED944D" w14:textId="77777777" w:rsidTr="00CF1C1E">
        <w:trPr>
          <w:trHeight w:val="20"/>
        </w:trPr>
        <w:tc>
          <w:tcPr>
            <w:tcW w:w="1400" w:type="dxa"/>
            <w:tcBorders>
              <w:top w:val="single" w:sz="8" w:space="0" w:color="auto"/>
              <w:left w:val="nil"/>
              <w:bottom w:val="single" w:sz="4" w:space="0" w:color="auto"/>
              <w:right w:val="nil"/>
            </w:tcBorders>
            <w:shd w:val="clear" w:color="000000" w:fill="FFFFFF"/>
            <w:noWrap/>
            <w:hideMark/>
          </w:tcPr>
          <w:p w14:paraId="0EDBA4B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Coluzzi</w:t>
            </w:r>
            <w:proofErr w:type="spellEnd"/>
            <w:r w:rsidRPr="00367BEC">
              <w:rPr>
                <w:rFonts w:ascii="Times New Roman" w:hAnsi="Times New Roman"/>
                <w:color w:val="000000"/>
                <w:sz w:val="20"/>
              </w:rPr>
              <w:t xml:space="preserve"> 2015</w:t>
            </w:r>
          </w:p>
        </w:tc>
        <w:tc>
          <w:tcPr>
            <w:tcW w:w="897" w:type="dxa"/>
            <w:tcBorders>
              <w:top w:val="single" w:sz="8" w:space="0" w:color="auto"/>
              <w:left w:val="nil"/>
              <w:bottom w:val="single" w:sz="4" w:space="0" w:color="auto"/>
              <w:right w:val="nil"/>
            </w:tcBorders>
            <w:shd w:val="clear" w:color="000000" w:fill="FFFFFF"/>
            <w:noWrap/>
            <w:hideMark/>
          </w:tcPr>
          <w:p w14:paraId="1B4BFA5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598" w:type="dxa"/>
            <w:tcBorders>
              <w:top w:val="single" w:sz="8" w:space="0" w:color="auto"/>
              <w:left w:val="nil"/>
              <w:bottom w:val="single" w:sz="4" w:space="0" w:color="auto"/>
              <w:right w:val="nil"/>
            </w:tcBorders>
            <w:shd w:val="clear" w:color="000000" w:fill="FFFFFF"/>
            <w:noWrap/>
            <w:hideMark/>
          </w:tcPr>
          <w:p w14:paraId="4CCFDC5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DN4</w:t>
            </w:r>
          </w:p>
        </w:tc>
        <w:tc>
          <w:tcPr>
            <w:tcW w:w="325" w:type="dxa"/>
            <w:tcBorders>
              <w:top w:val="single" w:sz="8" w:space="0" w:color="auto"/>
              <w:left w:val="nil"/>
              <w:bottom w:val="single" w:sz="4" w:space="0" w:color="auto"/>
              <w:right w:val="nil"/>
            </w:tcBorders>
            <w:shd w:val="clear" w:color="000000" w:fill="FFFFFF"/>
            <w:noWrap/>
            <w:hideMark/>
          </w:tcPr>
          <w:p w14:paraId="5D4484F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4,7</w:t>
            </w:r>
          </w:p>
        </w:tc>
        <w:tc>
          <w:tcPr>
            <w:tcW w:w="1048" w:type="dxa"/>
            <w:gridSpan w:val="2"/>
            <w:tcBorders>
              <w:top w:val="single" w:sz="8" w:space="0" w:color="auto"/>
              <w:left w:val="nil"/>
              <w:bottom w:val="single" w:sz="4" w:space="0" w:color="auto"/>
              <w:right w:val="nil"/>
            </w:tcBorders>
            <w:shd w:val="clear" w:color="000000" w:fill="FFFFFF"/>
            <w:noWrap/>
            <w:hideMark/>
          </w:tcPr>
          <w:p w14:paraId="28ADDAA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(2,4)</w:t>
            </w:r>
          </w:p>
        </w:tc>
        <w:tc>
          <w:tcPr>
            <w:tcW w:w="310" w:type="dxa"/>
            <w:tcBorders>
              <w:top w:val="single" w:sz="8" w:space="0" w:color="auto"/>
              <w:left w:val="nil"/>
              <w:bottom w:val="single" w:sz="4" w:space="0" w:color="auto"/>
              <w:right w:val="nil"/>
            </w:tcBorders>
            <w:shd w:val="clear" w:color="000000" w:fill="FFFFFF"/>
            <w:noWrap/>
            <w:hideMark/>
          </w:tcPr>
          <w:p w14:paraId="30A9701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0,4</w:t>
            </w:r>
          </w:p>
        </w:tc>
        <w:tc>
          <w:tcPr>
            <w:tcW w:w="749" w:type="dxa"/>
            <w:gridSpan w:val="2"/>
            <w:tcBorders>
              <w:top w:val="single" w:sz="8" w:space="0" w:color="auto"/>
              <w:left w:val="nil"/>
              <w:bottom w:val="single" w:sz="4" w:space="0" w:color="auto"/>
              <w:right w:val="nil"/>
            </w:tcBorders>
            <w:shd w:val="clear" w:color="000000" w:fill="FFFFFF"/>
            <w:noWrap/>
            <w:hideMark/>
          </w:tcPr>
          <w:p w14:paraId="6F3CEF4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(0,9)</w:t>
            </w:r>
          </w:p>
        </w:tc>
        <w:tc>
          <w:tcPr>
            <w:tcW w:w="1014" w:type="dxa"/>
            <w:tcBorders>
              <w:top w:val="single" w:sz="8" w:space="0" w:color="auto"/>
              <w:left w:val="nil"/>
              <w:bottom w:val="single" w:sz="4" w:space="0" w:color="auto"/>
              <w:right w:val="nil"/>
            </w:tcBorders>
            <w:shd w:val="clear" w:color="000000" w:fill="FFFFFF"/>
            <w:noWrap/>
            <w:hideMark/>
          </w:tcPr>
          <w:p w14:paraId="0FB44BF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−4,3</w:t>
            </w:r>
          </w:p>
        </w:tc>
        <w:tc>
          <w:tcPr>
            <w:tcW w:w="1358" w:type="dxa"/>
            <w:tcBorders>
              <w:top w:val="single" w:sz="8" w:space="0" w:color="auto"/>
              <w:left w:val="nil"/>
              <w:bottom w:val="single" w:sz="4" w:space="0" w:color="auto"/>
              <w:right w:val="nil"/>
            </w:tcBorders>
            <w:shd w:val="clear" w:color="000000" w:fill="FFFFFF"/>
            <w:noWrap/>
            <w:hideMark/>
          </w:tcPr>
          <w:p w14:paraId="12D3F09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−91,2</w:t>
            </w:r>
            <w:r w:rsidRPr="00367BEC">
              <w:rPr>
                <w:rFonts w:ascii="Times New Roman" w:hAnsi="Times New Roman"/>
                <w:color w:val="000000"/>
                <w:sz w:val="20"/>
                <w:vertAlign w:val="superscript"/>
              </w:rPr>
              <w:t>ii</w:t>
            </w:r>
          </w:p>
        </w:tc>
        <w:tc>
          <w:tcPr>
            <w:tcW w:w="973" w:type="dxa"/>
            <w:tcBorders>
              <w:top w:val="single" w:sz="8" w:space="0" w:color="auto"/>
              <w:left w:val="nil"/>
              <w:bottom w:val="single" w:sz="4" w:space="0" w:color="auto"/>
              <w:right w:val="nil"/>
            </w:tcBorders>
            <w:shd w:val="clear" w:color="000000" w:fill="FFFFFF"/>
            <w:noWrap/>
            <w:hideMark/>
          </w:tcPr>
          <w:p w14:paraId="67C2B0B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 (%)</w:t>
            </w:r>
          </w:p>
        </w:tc>
        <w:tc>
          <w:tcPr>
            <w:tcW w:w="492" w:type="dxa"/>
            <w:tcBorders>
              <w:top w:val="single" w:sz="8" w:space="0" w:color="auto"/>
              <w:left w:val="nil"/>
              <w:bottom w:val="single" w:sz="4" w:space="0" w:color="auto"/>
              <w:right w:val="nil"/>
            </w:tcBorders>
            <w:shd w:val="clear" w:color="000000" w:fill="FFFFFF"/>
            <w:noWrap/>
            <w:hideMark/>
          </w:tcPr>
          <w:p w14:paraId="33025C1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72,0</w:t>
            </w:r>
          </w:p>
        </w:tc>
        <w:tc>
          <w:tcPr>
            <w:tcW w:w="1000" w:type="dxa"/>
            <w:gridSpan w:val="2"/>
            <w:tcBorders>
              <w:top w:val="single" w:sz="8" w:space="0" w:color="auto"/>
              <w:left w:val="nil"/>
              <w:bottom w:val="single" w:sz="4" w:space="0" w:color="auto"/>
              <w:right w:val="nil"/>
            </w:tcBorders>
            <w:shd w:val="clear" w:color="000000" w:fill="FFFFFF"/>
            <w:noWrap/>
            <w:hideMark/>
          </w:tcPr>
          <w:p w14:paraId="7C93784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(18/25)</w:t>
            </w:r>
          </w:p>
        </w:tc>
        <w:tc>
          <w:tcPr>
            <w:tcW w:w="489" w:type="dxa"/>
            <w:tcBorders>
              <w:top w:val="single" w:sz="8" w:space="0" w:color="auto"/>
              <w:left w:val="nil"/>
              <w:bottom w:val="single" w:sz="4" w:space="0" w:color="auto"/>
              <w:right w:val="nil"/>
            </w:tcBorders>
            <w:shd w:val="clear" w:color="000000" w:fill="FFFFFF"/>
            <w:noWrap/>
            <w:hideMark/>
          </w:tcPr>
          <w:p w14:paraId="407A362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0,0</w:t>
            </w:r>
          </w:p>
        </w:tc>
        <w:tc>
          <w:tcPr>
            <w:tcW w:w="1002" w:type="dxa"/>
            <w:gridSpan w:val="2"/>
            <w:tcBorders>
              <w:top w:val="single" w:sz="8" w:space="0" w:color="auto"/>
              <w:left w:val="nil"/>
              <w:bottom w:val="single" w:sz="4" w:space="0" w:color="auto"/>
              <w:right w:val="nil"/>
            </w:tcBorders>
            <w:shd w:val="clear" w:color="000000" w:fill="FFFFFF"/>
            <w:noWrap/>
            <w:hideMark/>
          </w:tcPr>
          <w:p w14:paraId="2B7C417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(0/22)</w:t>
            </w:r>
          </w:p>
        </w:tc>
        <w:tc>
          <w:tcPr>
            <w:tcW w:w="1023" w:type="dxa"/>
            <w:tcBorders>
              <w:top w:val="single" w:sz="8" w:space="0" w:color="auto"/>
              <w:left w:val="nil"/>
              <w:bottom w:val="single" w:sz="4" w:space="0" w:color="auto"/>
              <w:right w:val="nil"/>
            </w:tcBorders>
            <w:shd w:val="clear" w:color="000000" w:fill="FFFFFF"/>
            <w:noWrap/>
            <w:hideMark/>
          </w:tcPr>
          <w:p w14:paraId="58E8877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−72,0</w:t>
            </w:r>
          </w:p>
        </w:tc>
        <w:tc>
          <w:tcPr>
            <w:tcW w:w="1371" w:type="dxa"/>
            <w:tcBorders>
              <w:top w:val="single" w:sz="8" w:space="0" w:color="auto"/>
              <w:left w:val="nil"/>
              <w:bottom w:val="single" w:sz="4" w:space="0" w:color="auto"/>
              <w:right w:val="nil"/>
            </w:tcBorders>
            <w:shd w:val="clear" w:color="000000" w:fill="FFFFFF"/>
            <w:noWrap/>
            <w:hideMark/>
          </w:tcPr>
          <w:p w14:paraId="6BA299A7"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−100,0</w:t>
            </w:r>
            <w:r w:rsidRPr="00367BEC">
              <w:rPr>
                <w:rFonts w:ascii="Times New Roman" w:hAnsi="Times New Roman"/>
                <w:b/>
                <w:color w:val="000000"/>
                <w:sz w:val="20"/>
                <w:vertAlign w:val="superscript"/>
              </w:rPr>
              <w:t>ii</w:t>
            </w:r>
          </w:p>
        </w:tc>
      </w:tr>
    </w:tbl>
    <w:p w14:paraId="505F38E5" w14:textId="77777777" w:rsidR="002E4D99" w:rsidRPr="00367BEC" w:rsidRDefault="002E4D99" w:rsidP="002E4D99">
      <w:pPr>
        <w:spacing w:after="0" w:line="240" w:lineRule="auto"/>
        <w:ind w:right="-4111"/>
        <w:jc w:val="both"/>
        <w:rPr>
          <w:rFonts w:ascii="Times New Roman" w:hAnsi="Times New Roman" w:cs="Times New Roman"/>
          <w:b/>
          <w:sz w:val="20"/>
          <w:szCs w:val="20"/>
        </w:rPr>
      </w:pPr>
    </w:p>
    <w:p w14:paraId="70168ABF" w14:textId="346F0198" w:rsidR="002E4D99" w:rsidRPr="00367BEC" w:rsidRDefault="002E4D99" w:rsidP="002E4D99">
      <w:pPr>
        <w:spacing w:after="0" w:line="240" w:lineRule="auto"/>
        <w:ind w:right="-2559"/>
        <w:jc w:val="both"/>
        <w:rPr>
          <w:rFonts w:ascii="Times New Roman" w:hAnsi="Times New Roman" w:cs="Times New Roman"/>
          <w:bCs/>
          <w:sz w:val="20"/>
          <w:szCs w:val="20"/>
        </w:rPr>
      </w:pPr>
      <w:r w:rsidRPr="00367BEC">
        <w:rPr>
          <w:rFonts w:ascii="Times New Roman" w:hAnsi="Times New Roman"/>
          <w:b/>
          <w:sz w:val="20"/>
        </w:rPr>
        <w:t>Abreviaturas:</w:t>
      </w:r>
      <w:r w:rsidRPr="00367BEC">
        <w:rPr>
          <w:rFonts w:ascii="Times New Roman" w:hAnsi="Times New Roman"/>
          <w:sz w:val="20"/>
        </w:rPr>
        <w:t xml:space="preserve"> DN4 (cuestionario </w:t>
      </w:r>
      <w:proofErr w:type="spellStart"/>
      <w:r w:rsidRPr="00367BEC">
        <w:rPr>
          <w:rFonts w:ascii="Times New Roman" w:hAnsi="Times New Roman"/>
          <w:sz w:val="20"/>
        </w:rPr>
        <w:t>Douleur</w:t>
      </w:r>
      <w:proofErr w:type="spellEnd"/>
      <w:r w:rsidRPr="00367BEC">
        <w:rPr>
          <w:rFonts w:ascii="Times New Roman" w:hAnsi="Times New Roman"/>
          <w:sz w:val="20"/>
        </w:rPr>
        <w:t xml:space="preserve"> </w:t>
      </w:r>
      <w:proofErr w:type="spellStart"/>
      <w:r w:rsidRPr="00367BEC">
        <w:rPr>
          <w:rFonts w:ascii="Times New Roman" w:hAnsi="Times New Roman"/>
          <w:sz w:val="20"/>
        </w:rPr>
        <w:t>Neuropathique</w:t>
      </w:r>
      <w:proofErr w:type="spellEnd"/>
      <w:r w:rsidRPr="00367BEC">
        <w:rPr>
          <w:rFonts w:ascii="Times New Roman" w:hAnsi="Times New Roman"/>
          <w:sz w:val="20"/>
        </w:rPr>
        <w:t>), OXN (oxicodona/naloxona), PDQ</w:t>
      </w:r>
      <w:r w:rsidRPr="00367BEC">
        <w:rPr>
          <w:rFonts w:ascii="Times New Roman" w:hAnsi="Times New Roman"/>
          <w:sz w:val="20"/>
          <w:vertAlign w:val="subscript"/>
        </w:rPr>
        <w:t>7</w:t>
      </w:r>
      <w:r w:rsidRPr="00367BEC">
        <w:rPr>
          <w:rFonts w:ascii="Times New Roman" w:hAnsi="Times New Roman"/>
          <w:sz w:val="20"/>
        </w:rPr>
        <w:t xml:space="preserve"> (versión de siete apartados modificada del cuestionario </w:t>
      </w:r>
      <w:proofErr w:type="spellStart"/>
      <w:r w:rsidRPr="00367BEC">
        <w:rPr>
          <w:rFonts w:ascii="Times New Roman" w:hAnsi="Times New Roman"/>
          <w:sz w:val="20"/>
        </w:rPr>
        <w:t>painDetect</w:t>
      </w:r>
      <w:proofErr w:type="spellEnd"/>
      <w:r w:rsidRPr="00367BEC">
        <w:rPr>
          <w:rFonts w:ascii="Times New Roman" w:hAnsi="Times New Roman"/>
          <w:sz w:val="20"/>
        </w:rPr>
        <w:t>), PR (</w:t>
      </w:r>
      <w:r w:rsidR="00784720">
        <w:rPr>
          <w:rFonts w:ascii="Times New Roman" w:hAnsi="Times New Roman"/>
          <w:sz w:val="20"/>
        </w:rPr>
        <w:t>liberación prolongada</w:t>
      </w:r>
      <w:r w:rsidRPr="00367BEC">
        <w:rPr>
          <w:rFonts w:ascii="Times New Roman" w:hAnsi="Times New Roman"/>
          <w:sz w:val="20"/>
        </w:rPr>
        <w:t xml:space="preserve">), EE (error estándar), TAP (tapentadol), </w:t>
      </w:r>
      <w:proofErr w:type="spellStart"/>
      <w:r w:rsidRPr="00367BEC">
        <w:rPr>
          <w:rFonts w:ascii="Times New Roman" w:hAnsi="Times New Roman"/>
          <w:sz w:val="20"/>
        </w:rPr>
        <w:t>um</w:t>
      </w:r>
      <w:proofErr w:type="spellEnd"/>
      <w:r w:rsidRPr="00367BEC">
        <w:rPr>
          <w:rFonts w:ascii="Times New Roman" w:hAnsi="Times New Roman"/>
          <w:sz w:val="20"/>
        </w:rPr>
        <w:t>-PEA (</w:t>
      </w:r>
      <w:proofErr w:type="spellStart"/>
      <w:r w:rsidRPr="00367BEC">
        <w:rPr>
          <w:rFonts w:ascii="Times New Roman" w:hAnsi="Times New Roman"/>
          <w:sz w:val="20"/>
        </w:rPr>
        <w:t>palmitoiletanolamida</w:t>
      </w:r>
      <w:proofErr w:type="spellEnd"/>
      <w:r w:rsidRPr="00367BEC">
        <w:rPr>
          <w:rFonts w:ascii="Times New Roman" w:hAnsi="Times New Roman"/>
          <w:sz w:val="20"/>
        </w:rPr>
        <w:t xml:space="preserve"> </w:t>
      </w:r>
      <w:proofErr w:type="spellStart"/>
      <w:r w:rsidRPr="00367BEC">
        <w:rPr>
          <w:rFonts w:ascii="Times New Roman" w:hAnsi="Times New Roman"/>
          <w:sz w:val="20"/>
        </w:rPr>
        <w:t>ultramicronizada</w:t>
      </w:r>
      <w:proofErr w:type="spellEnd"/>
      <w:r w:rsidRPr="00367BEC">
        <w:rPr>
          <w:rFonts w:ascii="Times New Roman" w:hAnsi="Times New Roman"/>
          <w:sz w:val="20"/>
        </w:rPr>
        <w:t xml:space="preserve">); </w:t>
      </w:r>
      <w:r w:rsidRPr="00367BEC">
        <w:rPr>
          <w:rFonts w:ascii="Times New Roman" w:hAnsi="Times New Roman"/>
          <w:color w:val="000000"/>
          <w:sz w:val="20"/>
        </w:rPr>
        <w:t>los datos representan la media (DE) o la mediana [</w:t>
      </w:r>
      <w:r w:rsidR="003C66E0">
        <w:rPr>
          <w:rFonts w:ascii="Times New Roman" w:hAnsi="Times New Roman"/>
          <w:color w:val="000000"/>
          <w:sz w:val="20"/>
        </w:rPr>
        <w:t>R</w:t>
      </w:r>
      <w:r w:rsidR="003C66E0" w:rsidRPr="00367BEC">
        <w:rPr>
          <w:rFonts w:ascii="Times New Roman" w:hAnsi="Times New Roman"/>
          <w:color w:val="000000"/>
          <w:sz w:val="20"/>
        </w:rPr>
        <w:t>IC</w:t>
      </w:r>
      <w:r w:rsidRPr="00367BEC">
        <w:rPr>
          <w:rFonts w:ascii="Times New Roman" w:hAnsi="Times New Roman"/>
          <w:color w:val="000000"/>
          <w:sz w:val="20"/>
        </w:rPr>
        <w:t xml:space="preserve">] a menos que se indique lo contrario; los números en </w:t>
      </w:r>
      <w:r w:rsidRPr="00367BEC">
        <w:rPr>
          <w:rFonts w:ascii="Times New Roman" w:hAnsi="Times New Roman"/>
          <w:i/>
          <w:color w:val="000000"/>
          <w:sz w:val="20"/>
        </w:rPr>
        <w:t>cursiva</w:t>
      </w:r>
      <w:r w:rsidRPr="00367BEC">
        <w:rPr>
          <w:rFonts w:ascii="Times New Roman" w:hAnsi="Times New Roman"/>
          <w:color w:val="000000"/>
          <w:sz w:val="20"/>
        </w:rPr>
        <w:t xml:space="preserve"> se han estimado a partir de datos proporcionados en el manuscrito</w:t>
      </w:r>
      <w:r w:rsidRPr="00367BEC">
        <w:rPr>
          <w:rFonts w:ascii="Times New Roman" w:hAnsi="Times New Roman"/>
          <w:sz w:val="20"/>
        </w:rPr>
        <w:t xml:space="preserve">; </w:t>
      </w:r>
      <w:r w:rsidRPr="00367BEC">
        <w:rPr>
          <w:rFonts w:ascii="Times New Roman" w:hAnsi="Times New Roman"/>
          <w:color w:val="000000"/>
          <w:sz w:val="20"/>
        </w:rPr>
        <w:t xml:space="preserve">las diferencias entre cohortes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r w:rsidRPr="00367BEC">
        <w:rPr>
          <w:rFonts w:ascii="Times New Roman" w:hAnsi="Times New Roman"/>
          <w:b/>
          <w:color w:val="000000"/>
          <w:sz w:val="20"/>
          <w:vertAlign w:val="superscript"/>
        </w:rPr>
        <w:t>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r w:rsidRPr="00367BEC">
        <w:rPr>
          <w:rFonts w:ascii="Times New Roman" w:hAnsi="Times New Roman"/>
          <w:b/>
          <w:color w:val="000000"/>
          <w:sz w:val="20"/>
          <w:vertAlign w:val="superscript"/>
        </w:rPr>
        <w:t>III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0,001), las diferencias </w:t>
      </w:r>
      <w:proofErr w:type="spellStart"/>
      <w:r w:rsidRPr="00367BEC">
        <w:rPr>
          <w:rFonts w:ascii="Times New Roman" w:hAnsi="Times New Roman"/>
          <w:color w:val="000000"/>
          <w:sz w:val="20"/>
        </w:rPr>
        <w:t>intracohorte</w:t>
      </w:r>
      <w:proofErr w:type="spellEnd"/>
      <w:r w:rsidRPr="00367BEC">
        <w:rPr>
          <w:rFonts w:ascii="Times New Roman" w:hAnsi="Times New Roman"/>
          <w:color w:val="000000"/>
          <w:sz w:val="20"/>
        </w:rPr>
        <w:t xml:space="preserve">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proofErr w:type="spellStart"/>
      <w:r w:rsidRPr="00367BEC">
        <w:rPr>
          <w:rFonts w:ascii="Times New Roman" w:hAnsi="Times New Roman"/>
          <w:b/>
          <w:color w:val="000000"/>
          <w:sz w:val="20"/>
          <w:vertAlign w:val="superscript"/>
        </w:rPr>
        <w:t>ii</w:t>
      </w:r>
      <w:proofErr w:type="spellEnd"/>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proofErr w:type="spellStart"/>
      <w:r w:rsidRPr="00367BEC">
        <w:rPr>
          <w:rFonts w:ascii="Times New Roman" w:hAnsi="Times New Roman"/>
          <w:b/>
          <w:color w:val="000000"/>
          <w:sz w:val="20"/>
          <w:vertAlign w:val="superscript"/>
        </w:rPr>
        <w:t>iii</w:t>
      </w:r>
      <w:proofErr w:type="spellEnd"/>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&lt; ,001).</w:t>
      </w:r>
      <w:r w:rsidRPr="00367BEC">
        <w:rPr>
          <w:rFonts w:ascii="Times New Roman" w:hAnsi="Times New Roman"/>
          <w:sz w:val="20"/>
        </w:rPr>
        <w:br w:type="page"/>
      </w:r>
    </w:p>
    <w:p w14:paraId="2BD5AE42" w14:textId="77777777" w:rsidR="002E4D99" w:rsidRPr="00367BEC" w:rsidRDefault="002E4D99" w:rsidP="002E4D99">
      <w:pPr>
        <w:spacing w:after="0" w:line="240" w:lineRule="auto"/>
        <w:jc w:val="both"/>
        <w:rPr>
          <w:rFonts w:ascii="Times New Roman" w:hAnsi="Times New Roman" w:cs="Times New Roman"/>
          <w:b/>
          <w:sz w:val="24"/>
          <w:szCs w:val="24"/>
        </w:rPr>
      </w:pPr>
      <w:r w:rsidRPr="00367BEC">
        <w:rPr>
          <w:rFonts w:ascii="Times New Roman" w:hAnsi="Times New Roman"/>
          <w:b/>
        </w:rPr>
        <w:lastRenderedPageBreak/>
        <w:t xml:space="preserve">Tabla 9. </w:t>
      </w:r>
      <w:r w:rsidRPr="00367BEC">
        <w:rPr>
          <w:rFonts w:ascii="Times New Roman" w:hAnsi="Times New Roman"/>
        </w:rPr>
        <w:t>Descripción de las herramientas de evaluación de la calidad de vida y parámetros de respuesta</w:t>
      </w:r>
    </w:p>
    <w:p w14:paraId="3F8AF0F8"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12481" w:type="dxa"/>
        <w:tblCellMar>
          <w:left w:w="70" w:type="dxa"/>
          <w:right w:w="70" w:type="dxa"/>
        </w:tblCellMar>
        <w:tblLook w:val="04A0" w:firstRow="1" w:lastRow="0" w:firstColumn="1" w:lastColumn="0" w:noHBand="0" w:noVBand="1"/>
      </w:tblPr>
      <w:tblGrid>
        <w:gridCol w:w="1480"/>
        <w:gridCol w:w="11001"/>
      </w:tblGrid>
      <w:tr w:rsidR="002E4D99" w:rsidRPr="00367BEC" w14:paraId="664E5EFA" w14:textId="77777777" w:rsidTr="00CF1C1E">
        <w:trPr>
          <w:trHeight w:val="283"/>
        </w:trPr>
        <w:tc>
          <w:tcPr>
            <w:tcW w:w="1480" w:type="dxa"/>
            <w:tcBorders>
              <w:top w:val="nil"/>
              <w:left w:val="nil"/>
              <w:bottom w:val="nil"/>
              <w:right w:val="nil"/>
            </w:tcBorders>
            <w:shd w:val="clear" w:color="000000" w:fill="FFFFFF"/>
            <w:noWrap/>
            <w:vAlign w:val="center"/>
            <w:hideMark/>
          </w:tcPr>
          <w:p w14:paraId="504B2F83"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Herramienta</w:t>
            </w:r>
          </w:p>
        </w:tc>
        <w:tc>
          <w:tcPr>
            <w:tcW w:w="11001" w:type="dxa"/>
            <w:tcBorders>
              <w:top w:val="nil"/>
              <w:left w:val="nil"/>
              <w:bottom w:val="nil"/>
              <w:right w:val="nil"/>
            </w:tcBorders>
            <w:shd w:val="clear" w:color="000000" w:fill="FFFFFF"/>
            <w:noWrap/>
            <w:vAlign w:val="center"/>
            <w:hideMark/>
          </w:tcPr>
          <w:p w14:paraId="6F6A9120"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Definición</w:t>
            </w:r>
          </w:p>
        </w:tc>
      </w:tr>
      <w:tr w:rsidR="002E4D99" w:rsidRPr="00367BEC" w14:paraId="158BF592" w14:textId="77777777" w:rsidTr="00CF1C1E">
        <w:trPr>
          <w:trHeight w:val="20"/>
        </w:trPr>
        <w:tc>
          <w:tcPr>
            <w:tcW w:w="1480" w:type="dxa"/>
            <w:tcBorders>
              <w:top w:val="single" w:sz="8" w:space="0" w:color="auto"/>
              <w:left w:val="nil"/>
              <w:bottom w:val="nil"/>
              <w:right w:val="nil"/>
            </w:tcBorders>
            <w:shd w:val="clear" w:color="000000" w:fill="FFFFFF"/>
            <w:noWrap/>
            <w:hideMark/>
          </w:tcPr>
          <w:p w14:paraId="679E7B74"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SF-36</w:t>
            </w:r>
          </w:p>
        </w:tc>
        <w:tc>
          <w:tcPr>
            <w:tcW w:w="11001" w:type="dxa"/>
            <w:tcBorders>
              <w:top w:val="single" w:sz="8" w:space="0" w:color="auto"/>
              <w:left w:val="nil"/>
              <w:bottom w:val="nil"/>
              <w:right w:val="nil"/>
            </w:tcBorders>
            <w:shd w:val="clear" w:color="000000" w:fill="FFFFFF"/>
            <w:noWrap/>
            <w:hideMark/>
          </w:tcPr>
          <w:p w14:paraId="45F2FACA" w14:textId="53AB968A"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Cuestionario de salud abreviado: Puntuación del componente de salud física (PCSF) o mental (PCSM)</w:t>
            </w:r>
          </w:p>
        </w:tc>
      </w:tr>
      <w:tr w:rsidR="002E4D99" w:rsidRPr="00367BEC" w14:paraId="53A2A579" w14:textId="77777777" w:rsidTr="00CF1C1E">
        <w:trPr>
          <w:trHeight w:val="20"/>
        </w:trPr>
        <w:tc>
          <w:tcPr>
            <w:tcW w:w="1480" w:type="dxa"/>
            <w:tcBorders>
              <w:top w:val="nil"/>
              <w:left w:val="nil"/>
              <w:bottom w:val="single" w:sz="4" w:space="0" w:color="auto"/>
              <w:right w:val="nil"/>
            </w:tcBorders>
            <w:shd w:val="clear" w:color="000000" w:fill="FFFFFF"/>
            <w:noWrap/>
            <w:hideMark/>
          </w:tcPr>
          <w:p w14:paraId="3558A1E1"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 </w:t>
            </w:r>
          </w:p>
        </w:tc>
        <w:tc>
          <w:tcPr>
            <w:tcW w:w="11001" w:type="dxa"/>
            <w:tcBorders>
              <w:top w:val="nil"/>
              <w:left w:val="nil"/>
              <w:bottom w:val="single" w:sz="4" w:space="0" w:color="auto"/>
              <w:right w:val="nil"/>
            </w:tcBorders>
            <w:shd w:val="clear" w:color="000000" w:fill="FFFFFF"/>
            <w:noWrap/>
            <w:hideMark/>
          </w:tcPr>
          <w:p w14:paraId="2447054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de 0 = «nivel más bajo de salud» a 100 = «nivel más alto de salud»</w:t>
            </w:r>
          </w:p>
        </w:tc>
      </w:tr>
      <w:tr w:rsidR="002E4D99" w:rsidRPr="00367BEC" w14:paraId="1BCC6FC6" w14:textId="77777777" w:rsidTr="00CF1C1E">
        <w:trPr>
          <w:trHeight w:val="20"/>
        </w:trPr>
        <w:tc>
          <w:tcPr>
            <w:tcW w:w="1480" w:type="dxa"/>
            <w:tcBorders>
              <w:top w:val="nil"/>
              <w:left w:val="nil"/>
              <w:bottom w:val="nil"/>
              <w:right w:val="nil"/>
            </w:tcBorders>
            <w:shd w:val="clear" w:color="000000" w:fill="FFFFFF"/>
            <w:noWrap/>
            <w:hideMark/>
          </w:tcPr>
          <w:p w14:paraId="21B2F8A3"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 xml:space="preserve">SF-12 </w:t>
            </w:r>
          </w:p>
        </w:tc>
        <w:tc>
          <w:tcPr>
            <w:tcW w:w="11001" w:type="dxa"/>
            <w:tcBorders>
              <w:top w:val="nil"/>
              <w:left w:val="nil"/>
              <w:bottom w:val="nil"/>
              <w:right w:val="nil"/>
            </w:tcBorders>
            <w:shd w:val="clear" w:color="000000" w:fill="FFFFFF"/>
            <w:noWrap/>
            <w:hideMark/>
          </w:tcPr>
          <w:p w14:paraId="69F94B58" w14:textId="19BAC6D8"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Cuestionario de salud abreviado: Puntuación del componente de salud física (PCSF) o mental (PCSM)</w:t>
            </w:r>
          </w:p>
        </w:tc>
      </w:tr>
      <w:tr w:rsidR="002E4D99" w:rsidRPr="00367BEC" w14:paraId="63AC4914" w14:textId="77777777" w:rsidTr="00CF1C1E">
        <w:trPr>
          <w:trHeight w:val="20"/>
        </w:trPr>
        <w:tc>
          <w:tcPr>
            <w:tcW w:w="1480" w:type="dxa"/>
            <w:tcBorders>
              <w:top w:val="nil"/>
              <w:left w:val="nil"/>
              <w:bottom w:val="single" w:sz="4" w:space="0" w:color="auto"/>
              <w:right w:val="nil"/>
            </w:tcBorders>
            <w:shd w:val="clear" w:color="000000" w:fill="FFFFFF"/>
            <w:noWrap/>
            <w:hideMark/>
          </w:tcPr>
          <w:p w14:paraId="0CE8BBA0"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 </w:t>
            </w:r>
          </w:p>
        </w:tc>
        <w:tc>
          <w:tcPr>
            <w:tcW w:w="11001" w:type="dxa"/>
            <w:tcBorders>
              <w:top w:val="nil"/>
              <w:left w:val="nil"/>
              <w:bottom w:val="single" w:sz="4" w:space="0" w:color="auto"/>
              <w:right w:val="nil"/>
            </w:tcBorders>
            <w:shd w:val="clear" w:color="000000" w:fill="FFFFFF"/>
            <w:noWrap/>
            <w:hideMark/>
          </w:tcPr>
          <w:p w14:paraId="5772A18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de 0 = «nivel más bajo de salud» a 100 = «nivel más alto de salud»</w:t>
            </w:r>
          </w:p>
        </w:tc>
      </w:tr>
      <w:tr w:rsidR="002E4D99" w:rsidRPr="00367BEC" w14:paraId="279FA4C8" w14:textId="77777777" w:rsidTr="00CF1C1E">
        <w:trPr>
          <w:trHeight w:val="20"/>
        </w:trPr>
        <w:tc>
          <w:tcPr>
            <w:tcW w:w="1480" w:type="dxa"/>
            <w:tcBorders>
              <w:top w:val="nil"/>
              <w:left w:val="nil"/>
              <w:bottom w:val="nil"/>
              <w:right w:val="nil"/>
            </w:tcBorders>
            <w:shd w:val="clear" w:color="000000" w:fill="FFFFFF"/>
            <w:hideMark/>
          </w:tcPr>
          <w:p w14:paraId="637C8092"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EQ-5D-3L</w:t>
            </w:r>
          </w:p>
        </w:tc>
        <w:tc>
          <w:tcPr>
            <w:tcW w:w="11001" w:type="dxa"/>
            <w:tcBorders>
              <w:top w:val="nil"/>
              <w:left w:val="nil"/>
              <w:bottom w:val="nil"/>
              <w:right w:val="nil"/>
            </w:tcBorders>
            <w:shd w:val="clear" w:color="000000" w:fill="FFFFFF"/>
            <w:hideMark/>
          </w:tcPr>
          <w:p w14:paraId="3A5D47FE" w14:textId="4B3B7642"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del cuestionario europeo sobre la calidad de vida de 0 = «peor estado de salud posible» a 1 = «mejor estado de salud posible»</w:t>
            </w:r>
          </w:p>
        </w:tc>
      </w:tr>
      <w:tr w:rsidR="002E4D99" w:rsidRPr="00367BEC" w14:paraId="35B520F7" w14:textId="77777777" w:rsidTr="00CF1C1E">
        <w:trPr>
          <w:trHeight w:val="20"/>
        </w:trPr>
        <w:tc>
          <w:tcPr>
            <w:tcW w:w="1480" w:type="dxa"/>
            <w:tcBorders>
              <w:top w:val="nil"/>
              <w:left w:val="nil"/>
              <w:bottom w:val="nil"/>
              <w:right w:val="nil"/>
            </w:tcBorders>
            <w:shd w:val="clear" w:color="000000" w:fill="FFFFFF"/>
            <w:noWrap/>
            <w:vAlign w:val="bottom"/>
            <w:hideMark/>
          </w:tcPr>
          <w:p w14:paraId="32814767"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1001" w:type="dxa"/>
            <w:tcBorders>
              <w:top w:val="nil"/>
              <w:left w:val="nil"/>
              <w:bottom w:val="nil"/>
              <w:right w:val="nil"/>
            </w:tcBorders>
            <w:shd w:val="clear" w:color="000000" w:fill="FFFFFF"/>
            <w:noWrap/>
            <w:vAlign w:val="bottom"/>
            <w:hideMark/>
          </w:tcPr>
          <w:p w14:paraId="249CFD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31F8A669" w14:textId="77777777" w:rsidTr="00CF1C1E">
        <w:trPr>
          <w:trHeight w:val="20"/>
        </w:trPr>
        <w:tc>
          <w:tcPr>
            <w:tcW w:w="1480" w:type="dxa"/>
            <w:tcBorders>
              <w:top w:val="nil"/>
              <w:left w:val="nil"/>
              <w:bottom w:val="single" w:sz="4" w:space="0" w:color="auto"/>
              <w:right w:val="nil"/>
            </w:tcBorders>
            <w:shd w:val="clear" w:color="000000" w:fill="FFFFFF"/>
            <w:noWrap/>
            <w:hideMark/>
          </w:tcPr>
          <w:p w14:paraId="00BE6FF0"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↑&gt;30 % (%)</w:t>
            </w:r>
          </w:p>
        </w:tc>
        <w:tc>
          <w:tcPr>
            <w:tcW w:w="11001" w:type="dxa"/>
            <w:tcBorders>
              <w:top w:val="nil"/>
              <w:left w:val="nil"/>
              <w:bottom w:val="single" w:sz="4" w:space="0" w:color="auto"/>
              <w:right w:val="nil"/>
            </w:tcBorders>
            <w:shd w:val="clear" w:color="000000" w:fill="FFFFFF"/>
            <w:noWrap/>
            <w:hideMark/>
          </w:tcPr>
          <w:p w14:paraId="24D8F34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aumento de la puntuación en EQ-5D-3L ≥30 % respecto al inicio</w:t>
            </w:r>
          </w:p>
        </w:tc>
      </w:tr>
      <w:tr w:rsidR="002E4D99" w:rsidRPr="00367BEC" w14:paraId="03AE5A6B" w14:textId="77777777" w:rsidTr="00CF1C1E">
        <w:trPr>
          <w:trHeight w:val="20"/>
        </w:trPr>
        <w:tc>
          <w:tcPr>
            <w:tcW w:w="1480" w:type="dxa"/>
            <w:tcBorders>
              <w:top w:val="single" w:sz="4" w:space="0" w:color="auto"/>
              <w:left w:val="nil"/>
              <w:bottom w:val="single" w:sz="4" w:space="0" w:color="auto"/>
              <w:right w:val="nil"/>
            </w:tcBorders>
            <w:shd w:val="clear" w:color="000000" w:fill="FFFFFF"/>
            <w:noWrap/>
            <w:hideMark/>
          </w:tcPr>
          <w:p w14:paraId="2B14C60D" w14:textId="1C693439"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EQ-EVA</w:t>
            </w:r>
            <w:r w:rsidR="000D16A0">
              <w:rPr>
                <w:rFonts w:ascii="Times New Roman" w:hAnsi="Times New Roman"/>
                <w:b/>
                <w:color w:val="000000"/>
                <w:sz w:val="20"/>
              </w:rPr>
              <w:t>-100</w:t>
            </w:r>
          </w:p>
        </w:tc>
        <w:tc>
          <w:tcPr>
            <w:tcW w:w="11001" w:type="dxa"/>
            <w:tcBorders>
              <w:top w:val="single" w:sz="4" w:space="0" w:color="auto"/>
              <w:left w:val="nil"/>
              <w:bottom w:val="single" w:sz="4" w:space="0" w:color="auto"/>
              <w:right w:val="nil"/>
            </w:tcBorders>
            <w:shd w:val="clear" w:color="000000" w:fill="FFFFFF"/>
            <w:noWrap/>
            <w:hideMark/>
          </w:tcPr>
          <w:p w14:paraId="56FEAFE2" w14:textId="7F2AF72D"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del cuestionario europeo sobre la calidad de vida de 0 = «mejor estado de salud imaginable» a 100 = «peor estado de salud imaginable»</w:t>
            </w:r>
          </w:p>
        </w:tc>
      </w:tr>
      <w:tr w:rsidR="002E4D99" w:rsidRPr="00367BEC" w14:paraId="55AF773B" w14:textId="77777777" w:rsidTr="00CF1C1E">
        <w:trPr>
          <w:trHeight w:val="20"/>
        </w:trPr>
        <w:tc>
          <w:tcPr>
            <w:tcW w:w="1480" w:type="dxa"/>
            <w:tcBorders>
              <w:top w:val="single" w:sz="4" w:space="0" w:color="auto"/>
              <w:left w:val="nil"/>
              <w:bottom w:val="single" w:sz="4" w:space="0" w:color="auto"/>
              <w:right w:val="nil"/>
            </w:tcBorders>
            <w:shd w:val="clear" w:color="000000" w:fill="FFFFFF"/>
            <w:noWrap/>
            <w:hideMark/>
          </w:tcPr>
          <w:p w14:paraId="52CF667B" w14:textId="219CEC74"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 xml:space="preserve">Spitzer </w:t>
            </w:r>
            <w:proofErr w:type="spellStart"/>
            <w:r w:rsidR="00B201A8">
              <w:rPr>
                <w:rFonts w:ascii="Times New Roman" w:hAnsi="Times New Roman"/>
                <w:b/>
                <w:color w:val="000000"/>
                <w:sz w:val="20"/>
              </w:rPr>
              <w:t>CdV</w:t>
            </w:r>
            <w:proofErr w:type="spellEnd"/>
          </w:p>
        </w:tc>
        <w:tc>
          <w:tcPr>
            <w:tcW w:w="11001" w:type="dxa"/>
            <w:tcBorders>
              <w:top w:val="single" w:sz="4" w:space="0" w:color="auto"/>
              <w:left w:val="nil"/>
              <w:bottom w:val="single" w:sz="4" w:space="0" w:color="auto"/>
              <w:right w:val="nil"/>
            </w:tcBorders>
            <w:shd w:val="clear" w:color="000000" w:fill="FFFFFF"/>
            <w:noWrap/>
            <w:hideMark/>
          </w:tcPr>
          <w:p w14:paraId="799B4B9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 calidad de vida de Spitzer de 0 = «mejor» a 10 = «peor»</w:t>
            </w:r>
          </w:p>
        </w:tc>
      </w:tr>
      <w:tr w:rsidR="002E4D99" w:rsidRPr="00367BEC" w14:paraId="43FB0839" w14:textId="77777777" w:rsidTr="00CF1C1E">
        <w:trPr>
          <w:trHeight w:val="20"/>
        </w:trPr>
        <w:tc>
          <w:tcPr>
            <w:tcW w:w="1480" w:type="dxa"/>
            <w:tcBorders>
              <w:top w:val="single" w:sz="4" w:space="0" w:color="auto"/>
              <w:left w:val="nil"/>
              <w:bottom w:val="nil"/>
              <w:right w:val="nil"/>
            </w:tcBorders>
            <w:shd w:val="clear" w:color="000000" w:fill="FFFFFF"/>
            <w:noWrap/>
            <w:hideMark/>
          </w:tcPr>
          <w:p w14:paraId="477E060C"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QLIP</w:t>
            </w:r>
          </w:p>
        </w:tc>
        <w:tc>
          <w:tcPr>
            <w:tcW w:w="11001" w:type="dxa"/>
            <w:tcBorders>
              <w:top w:val="single" w:sz="4" w:space="0" w:color="auto"/>
              <w:left w:val="nil"/>
              <w:bottom w:val="nil"/>
              <w:right w:val="nil"/>
            </w:tcBorders>
            <w:shd w:val="clear" w:color="000000" w:fill="FFFFFF"/>
            <w:noWrap/>
            <w:hideMark/>
          </w:tcPr>
          <w:p w14:paraId="48BADE9D" w14:textId="302B09AF"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Cuestionario de deterioro de la calidad de vida por dolor de 0 = «deterioro total» a 40 = «ningún deterioro», donde las puntuaciones ≤20 indican discapacidad considerable</w:t>
            </w:r>
          </w:p>
        </w:tc>
      </w:tr>
      <w:tr w:rsidR="002E4D99" w:rsidRPr="00367BEC" w14:paraId="2D7101A0" w14:textId="77777777" w:rsidTr="00CF1C1E">
        <w:trPr>
          <w:trHeight w:val="20"/>
        </w:trPr>
        <w:tc>
          <w:tcPr>
            <w:tcW w:w="1480" w:type="dxa"/>
            <w:tcBorders>
              <w:top w:val="nil"/>
              <w:left w:val="nil"/>
              <w:bottom w:val="nil"/>
              <w:right w:val="nil"/>
            </w:tcBorders>
            <w:shd w:val="clear" w:color="000000" w:fill="FFFFFF"/>
            <w:noWrap/>
            <w:vAlign w:val="bottom"/>
            <w:hideMark/>
          </w:tcPr>
          <w:p w14:paraId="10774EB9"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1001" w:type="dxa"/>
            <w:tcBorders>
              <w:top w:val="nil"/>
              <w:left w:val="nil"/>
              <w:bottom w:val="nil"/>
              <w:right w:val="nil"/>
            </w:tcBorders>
            <w:shd w:val="clear" w:color="auto" w:fill="auto"/>
            <w:noWrap/>
            <w:vAlign w:val="bottom"/>
            <w:hideMark/>
          </w:tcPr>
          <w:p w14:paraId="4C13C4C8"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lang w:eastAsia="es-ES"/>
              </w:rPr>
            </w:pPr>
          </w:p>
        </w:tc>
      </w:tr>
      <w:tr w:rsidR="002E4D99" w:rsidRPr="00367BEC" w14:paraId="7EC236E6" w14:textId="77777777" w:rsidTr="00CF1C1E">
        <w:trPr>
          <w:trHeight w:val="20"/>
        </w:trPr>
        <w:tc>
          <w:tcPr>
            <w:tcW w:w="1480" w:type="dxa"/>
            <w:tcBorders>
              <w:top w:val="nil"/>
              <w:left w:val="nil"/>
              <w:bottom w:val="single" w:sz="4" w:space="0" w:color="auto"/>
              <w:right w:val="nil"/>
            </w:tcBorders>
            <w:shd w:val="clear" w:color="000000" w:fill="FFFFFF"/>
            <w:noWrap/>
            <w:hideMark/>
          </w:tcPr>
          <w:p w14:paraId="63583037"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≤20 (%)</w:t>
            </w:r>
          </w:p>
        </w:tc>
        <w:tc>
          <w:tcPr>
            <w:tcW w:w="11001" w:type="dxa"/>
            <w:tcBorders>
              <w:top w:val="nil"/>
              <w:left w:val="nil"/>
              <w:bottom w:val="single" w:sz="4" w:space="0" w:color="auto"/>
              <w:right w:val="nil"/>
            </w:tcBorders>
            <w:shd w:val="clear" w:color="000000" w:fill="FFFFFF"/>
            <w:noWrap/>
            <w:hideMark/>
          </w:tcPr>
          <w:p w14:paraId="493E86B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muy afectados con una puntuación ≤20 en QLIP</w:t>
            </w:r>
          </w:p>
        </w:tc>
      </w:tr>
      <w:tr w:rsidR="002E4D99" w:rsidRPr="00367BEC" w14:paraId="44DFD06D" w14:textId="77777777" w:rsidTr="00CF1C1E">
        <w:trPr>
          <w:trHeight w:val="20"/>
        </w:trPr>
        <w:tc>
          <w:tcPr>
            <w:tcW w:w="1480" w:type="dxa"/>
            <w:tcBorders>
              <w:top w:val="nil"/>
              <w:left w:val="nil"/>
              <w:bottom w:val="nil"/>
              <w:right w:val="nil"/>
            </w:tcBorders>
            <w:shd w:val="clear" w:color="000000" w:fill="FFFFFF"/>
            <w:noWrap/>
            <w:vAlign w:val="center"/>
            <w:hideMark/>
          </w:tcPr>
          <w:p w14:paraId="7BC10665"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proofErr w:type="spellStart"/>
            <w:r w:rsidRPr="00367BEC">
              <w:rPr>
                <w:rFonts w:ascii="Times New Roman" w:hAnsi="Times New Roman"/>
                <w:b/>
                <w:color w:val="000000"/>
                <w:sz w:val="20"/>
              </w:rPr>
              <w:t>CdV</w:t>
            </w:r>
            <w:proofErr w:type="spellEnd"/>
            <w:r w:rsidRPr="00367BEC">
              <w:rPr>
                <w:rFonts w:ascii="Times New Roman" w:hAnsi="Times New Roman"/>
                <w:b/>
                <w:color w:val="000000"/>
                <w:sz w:val="20"/>
              </w:rPr>
              <w:t xml:space="preserve"> EVN-11</w:t>
            </w:r>
          </w:p>
        </w:tc>
        <w:tc>
          <w:tcPr>
            <w:tcW w:w="11001" w:type="dxa"/>
            <w:tcBorders>
              <w:top w:val="nil"/>
              <w:left w:val="nil"/>
              <w:bottom w:val="nil"/>
              <w:right w:val="nil"/>
            </w:tcBorders>
            <w:shd w:val="clear" w:color="000000" w:fill="FFFFFF"/>
            <w:noWrap/>
            <w:vAlign w:val="center"/>
            <w:hideMark/>
          </w:tcPr>
          <w:p w14:paraId="371F3FD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 vida en una escala numérica de 0 = «sin discapacidad» a 10 = «peor discapacidad imaginable»</w:t>
            </w:r>
          </w:p>
        </w:tc>
      </w:tr>
    </w:tbl>
    <w:p w14:paraId="594BB279" w14:textId="77777777" w:rsidR="002E4D99" w:rsidRPr="00367BEC" w:rsidRDefault="002E4D99" w:rsidP="002E4D99">
      <w:pPr>
        <w:spacing w:after="0" w:line="360" w:lineRule="auto"/>
        <w:jc w:val="both"/>
        <w:rPr>
          <w:rFonts w:ascii="Times New Roman" w:hAnsi="Times New Roman" w:cs="Times New Roman"/>
          <w:b/>
          <w:sz w:val="24"/>
          <w:szCs w:val="24"/>
        </w:rPr>
      </w:pPr>
    </w:p>
    <w:p w14:paraId="480AB3BC" w14:textId="77777777" w:rsidR="002E4D99" w:rsidRPr="00367BEC" w:rsidRDefault="002E4D99" w:rsidP="002E4D99">
      <w:pPr>
        <w:rPr>
          <w:rFonts w:ascii="Times New Roman" w:hAnsi="Times New Roman" w:cs="Times New Roman"/>
          <w:b/>
          <w:sz w:val="24"/>
          <w:szCs w:val="24"/>
        </w:rPr>
      </w:pPr>
      <w:r w:rsidRPr="00367BEC">
        <w:br w:type="page"/>
      </w:r>
    </w:p>
    <w:p w14:paraId="5D9DFCBA"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10. </w:t>
      </w:r>
      <w:r w:rsidRPr="00367BEC">
        <w:rPr>
          <w:rFonts w:ascii="Times New Roman" w:hAnsi="Times New Roman"/>
        </w:rPr>
        <w:t>Resultados de calidad de vida en cada estudio</w:t>
      </w:r>
    </w:p>
    <w:p w14:paraId="10F545B6"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13644" w:type="dxa"/>
        <w:tblLayout w:type="fixed"/>
        <w:tblCellMar>
          <w:left w:w="28" w:type="dxa"/>
          <w:right w:w="28" w:type="dxa"/>
        </w:tblCellMar>
        <w:tblLook w:val="04A0" w:firstRow="1" w:lastRow="0" w:firstColumn="1" w:lastColumn="0" w:noHBand="0" w:noVBand="1"/>
      </w:tblPr>
      <w:tblGrid>
        <w:gridCol w:w="1252"/>
        <w:gridCol w:w="1105"/>
        <w:gridCol w:w="1563"/>
        <w:gridCol w:w="416"/>
        <w:gridCol w:w="757"/>
        <w:gridCol w:w="416"/>
        <w:gridCol w:w="523"/>
        <w:gridCol w:w="1339"/>
        <w:gridCol w:w="1065"/>
        <w:gridCol w:w="809"/>
        <w:gridCol w:w="349"/>
        <w:gridCol w:w="375"/>
        <w:gridCol w:w="502"/>
        <w:gridCol w:w="338"/>
        <w:gridCol w:w="42"/>
        <w:gridCol w:w="277"/>
        <w:gridCol w:w="492"/>
        <w:gridCol w:w="881"/>
        <w:gridCol w:w="1143"/>
      </w:tblGrid>
      <w:tr w:rsidR="002E4D99" w:rsidRPr="00367BEC" w14:paraId="283A7C25" w14:textId="77777777" w:rsidTr="00CF1C1E">
        <w:trPr>
          <w:trHeight w:val="283"/>
          <w:tblHeader/>
        </w:trPr>
        <w:tc>
          <w:tcPr>
            <w:tcW w:w="1252" w:type="dxa"/>
            <w:tcBorders>
              <w:top w:val="nil"/>
              <w:left w:val="nil"/>
              <w:bottom w:val="single" w:sz="8" w:space="0" w:color="auto"/>
              <w:right w:val="nil"/>
            </w:tcBorders>
            <w:shd w:val="clear" w:color="000000" w:fill="FFFFFF"/>
            <w:noWrap/>
            <w:vAlign w:val="center"/>
            <w:hideMark/>
          </w:tcPr>
          <w:p w14:paraId="2C801E4D"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Referencia</w:t>
            </w:r>
          </w:p>
        </w:tc>
        <w:tc>
          <w:tcPr>
            <w:tcW w:w="1105" w:type="dxa"/>
            <w:tcBorders>
              <w:top w:val="nil"/>
              <w:left w:val="nil"/>
              <w:bottom w:val="single" w:sz="8" w:space="0" w:color="auto"/>
              <w:right w:val="nil"/>
            </w:tcBorders>
            <w:shd w:val="clear" w:color="000000" w:fill="FFFFFF"/>
            <w:noWrap/>
            <w:vAlign w:val="center"/>
            <w:hideMark/>
          </w:tcPr>
          <w:p w14:paraId="4A1738E1"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Cohorte</w:t>
            </w:r>
          </w:p>
        </w:tc>
        <w:tc>
          <w:tcPr>
            <w:tcW w:w="1563" w:type="dxa"/>
            <w:tcBorders>
              <w:top w:val="nil"/>
              <w:left w:val="nil"/>
              <w:bottom w:val="single" w:sz="8" w:space="0" w:color="auto"/>
              <w:right w:val="nil"/>
            </w:tcBorders>
            <w:shd w:val="clear" w:color="000000" w:fill="FFFFFF"/>
            <w:noWrap/>
            <w:vAlign w:val="center"/>
            <w:hideMark/>
          </w:tcPr>
          <w:p w14:paraId="77EDDF75"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Prueba</w:t>
            </w:r>
          </w:p>
        </w:tc>
        <w:tc>
          <w:tcPr>
            <w:tcW w:w="1173" w:type="dxa"/>
            <w:gridSpan w:val="2"/>
            <w:tcBorders>
              <w:top w:val="nil"/>
              <w:left w:val="nil"/>
              <w:bottom w:val="single" w:sz="8" w:space="0" w:color="auto"/>
              <w:right w:val="nil"/>
            </w:tcBorders>
            <w:shd w:val="clear" w:color="000000" w:fill="FFFFFF"/>
            <w:noWrap/>
            <w:vAlign w:val="center"/>
            <w:hideMark/>
          </w:tcPr>
          <w:p w14:paraId="7BA295E5"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Inicio (puntuación)</w:t>
            </w:r>
          </w:p>
        </w:tc>
        <w:tc>
          <w:tcPr>
            <w:tcW w:w="939" w:type="dxa"/>
            <w:gridSpan w:val="2"/>
            <w:tcBorders>
              <w:top w:val="nil"/>
              <w:left w:val="nil"/>
              <w:bottom w:val="single" w:sz="8" w:space="0" w:color="auto"/>
              <w:right w:val="nil"/>
            </w:tcBorders>
            <w:shd w:val="clear" w:color="000000" w:fill="FFFFFF"/>
            <w:noWrap/>
            <w:vAlign w:val="center"/>
            <w:hideMark/>
          </w:tcPr>
          <w:p w14:paraId="275D5EEA"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Final (puntuación)</w:t>
            </w:r>
          </w:p>
        </w:tc>
        <w:tc>
          <w:tcPr>
            <w:tcW w:w="1339" w:type="dxa"/>
            <w:tcBorders>
              <w:top w:val="nil"/>
              <w:left w:val="nil"/>
              <w:bottom w:val="single" w:sz="8" w:space="0" w:color="auto"/>
              <w:right w:val="nil"/>
            </w:tcBorders>
            <w:shd w:val="clear" w:color="000000" w:fill="FFFFFF"/>
            <w:vAlign w:val="center"/>
            <w:hideMark/>
          </w:tcPr>
          <w:p w14:paraId="440F0010"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absoluto</w:t>
            </w:r>
          </w:p>
        </w:tc>
        <w:tc>
          <w:tcPr>
            <w:tcW w:w="1065" w:type="dxa"/>
            <w:tcBorders>
              <w:top w:val="nil"/>
              <w:left w:val="nil"/>
              <w:bottom w:val="single" w:sz="8" w:space="0" w:color="auto"/>
              <w:right w:val="nil"/>
            </w:tcBorders>
            <w:shd w:val="clear" w:color="000000" w:fill="FFFFFF"/>
            <w:vAlign w:val="center"/>
            <w:hideMark/>
          </w:tcPr>
          <w:p w14:paraId="0E82437A"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relativo (%)</w:t>
            </w:r>
          </w:p>
        </w:tc>
        <w:tc>
          <w:tcPr>
            <w:tcW w:w="809" w:type="dxa"/>
            <w:tcBorders>
              <w:top w:val="nil"/>
              <w:left w:val="nil"/>
              <w:bottom w:val="single" w:sz="8" w:space="0" w:color="auto"/>
              <w:right w:val="nil"/>
            </w:tcBorders>
            <w:shd w:val="clear" w:color="000000" w:fill="FFFFFF"/>
            <w:noWrap/>
            <w:vAlign w:val="center"/>
            <w:hideMark/>
          </w:tcPr>
          <w:p w14:paraId="366354BF"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Respuesta</w:t>
            </w:r>
          </w:p>
        </w:tc>
        <w:tc>
          <w:tcPr>
            <w:tcW w:w="724" w:type="dxa"/>
            <w:gridSpan w:val="2"/>
            <w:tcBorders>
              <w:top w:val="nil"/>
              <w:left w:val="nil"/>
              <w:bottom w:val="single" w:sz="8" w:space="0" w:color="auto"/>
              <w:right w:val="nil"/>
            </w:tcBorders>
            <w:shd w:val="clear" w:color="000000" w:fill="FFFFFF"/>
            <w:noWrap/>
            <w:vAlign w:val="center"/>
            <w:hideMark/>
          </w:tcPr>
          <w:p w14:paraId="1BB6EA6C"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Inicio (%)</w:t>
            </w:r>
          </w:p>
        </w:tc>
        <w:tc>
          <w:tcPr>
            <w:tcW w:w="502" w:type="dxa"/>
            <w:tcBorders>
              <w:top w:val="nil"/>
              <w:left w:val="nil"/>
              <w:bottom w:val="single" w:sz="8" w:space="0" w:color="auto"/>
              <w:right w:val="nil"/>
            </w:tcBorders>
            <w:shd w:val="clear" w:color="000000" w:fill="FFFFFF"/>
            <w:noWrap/>
            <w:vAlign w:val="center"/>
            <w:hideMark/>
          </w:tcPr>
          <w:p w14:paraId="534BEC34"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657" w:type="dxa"/>
            <w:gridSpan w:val="3"/>
            <w:tcBorders>
              <w:top w:val="nil"/>
              <w:left w:val="nil"/>
              <w:bottom w:val="single" w:sz="8" w:space="0" w:color="auto"/>
              <w:right w:val="nil"/>
            </w:tcBorders>
            <w:shd w:val="clear" w:color="000000" w:fill="FFFFFF"/>
            <w:noWrap/>
            <w:vAlign w:val="center"/>
            <w:hideMark/>
          </w:tcPr>
          <w:p w14:paraId="22B15EDC"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Final (%)</w:t>
            </w:r>
          </w:p>
        </w:tc>
        <w:tc>
          <w:tcPr>
            <w:tcW w:w="492" w:type="dxa"/>
            <w:tcBorders>
              <w:top w:val="nil"/>
              <w:left w:val="nil"/>
              <w:bottom w:val="single" w:sz="8" w:space="0" w:color="auto"/>
              <w:right w:val="nil"/>
            </w:tcBorders>
            <w:shd w:val="clear" w:color="000000" w:fill="FFFFFF"/>
            <w:noWrap/>
            <w:vAlign w:val="center"/>
            <w:hideMark/>
          </w:tcPr>
          <w:p w14:paraId="0990DAD8"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(N/n)</w:t>
            </w:r>
          </w:p>
        </w:tc>
        <w:tc>
          <w:tcPr>
            <w:tcW w:w="881" w:type="dxa"/>
            <w:tcBorders>
              <w:top w:val="nil"/>
              <w:left w:val="nil"/>
              <w:bottom w:val="single" w:sz="8" w:space="0" w:color="auto"/>
              <w:right w:val="nil"/>
            </w:tcBorders>
            <w:shd w:val="clear" w:color="000000" w:fill="FFFFFF"/>
            <w:vAlign w:val="center"/>
            <w:hideMark/>
          </w:tcPr>
          <w:p w14:paraId="1528376F"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absoluto</w:t>
            </w:r>
          </w:p>
        </w:tc>
        <w:tc>
          <w:tcPr>
            <w:tcW w:w="1143" w:type="dxa"/>
            <w:tcBorders>
              <w:top w:val="nil"/>
              <w:left w:val="nil"/>
              <w:bottom w:val="single" w:sz="8" w:space="0" w:color="auto"/>
              <w:right w:val="nil"/>
            </w:tcBorders>
            <w:shd w:val="clear" w:color="000000" w:fill="FFFFFF"/>
            <w:vAlign w:val="center"/>
            <w:hideMark/>
          </w:tcPr>
          <w:p w14:paraId="42E3622F" w14:textId="77777777" w:rsidR="002E4D99" w:rsidRPr="00367BEC" w:rsidRDefault="002E4D99" w:rsidP="00CF1C1E">
            <w:pPr>
              <w:spacing w:after="0" w:line="240" w:lineRule="auto"/>
              <w:rPr>
                <w:rFonts w:ascii="Times New Roman" w:eastAsia="Times New Roman" w:hAnsi="Times New Roman" w:cs="Times New Roman"/>
                <w:b/>
                <w:bCs/>
                <w:sz w:val="16"/>
                <w:szCs w:val="16"/>
              </w:rPr>
            </w:pPr>
            <w:r w:rsidRPr="00367BEC">
              <w:rPr>
                <w:rFonts w:ascii="Times New Roman" w:hAnsi="Times New Roman"/>
                <w:b/>
                <w:sz w:val="16"/>
              </w:rPr>
              <w:t>Δ relativo (%)</w:t>
            </w:r>
          </w:p>
        </w:tc>
      </w:tr>
      <w:tr w:rsidR="002E4D99" w:rsidRPr="00367BEC" w14:paraId="63994014" w14:textId="77777777" w:rsidTr="00CF1C1E">
        <w:trPr>
          <w:trHeight w:val="20"/>
        </w:trPr>
        <w:tc>
          <w:tcPr>
            <w:tcW w:w="1252" w:type="dxa"/>
            <w:tcBorders>
              <w:top w:val="nil"/>
              <w:left w:val="nil"/>
              <w:bottom w:val="nil"/>
              <w:right w:val="nil"/>
            </w:tcBorders>
            <w:shd w:val="clear" w:color="000000" w:fill="FFFFFF"/>
            <w:noWrap/>
            <w:hideMark/>
          </w:tcPr>
          <w:p w14:paraId="66B94D7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Finco 2018</w:t>
            </w:r>
          </w:p>
        </w:tc>
        <w:tc>
          <w:tcPr>
            <w:tcW w:w="1105" w:type="dxa"/>
            <w:tcBorders>
              <w:top w:val="nil"/>
              <w:left w:val="nil"/>
              <w:bottom w:val="nil"/>
              <w:right w:val="nil"/>
            </w:tcBorders>
            <w:shd w:val="clear" w:color="000000" w:fill="FFFFFF"/>
            <w:noWrap/>
            <w:hideMark/>
          </w:tcPr>
          <w:p w14:paraId="6DDDA6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nil"/>
              <w:left w:val="nil"/>
              <w:bottom w:val="nil"/>
              <w:right w:val="nil"/>
            </w:tcBorders>
            <w:shd w:val="clear" w:color="000000" w:fill="FFFFFF"/>
            <w:noWrap/>
            <w:hideMark/>
          </w:tcPr>
          <w:p w14:paraId="6B4EEE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SF-12 PCSF</w:t>
            </w:r>
          </w:p>
        </w:tc>
        <w:tc>
          <w:tcPr>
            <w:tcW w:w="416" w:type="dxa"/>
            <w:tcBorders>
              <w:top w:val="nil"/>
              <w:left w:val="nil"/>
              <w:bottom w:val="nil"/>
              <w:right w:val="nil"/>
            </w:tcBorders>
            <w:shd w:val="clear" w:color="000000" w:fill="FFFFFF"/>
            <w:noWrap/>
            <w:hideMark/>
          </w:tcPr>
          <w:p w14:paraId="4E26F1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30,3</w:t>
            </w:r>
          </w:p>
        </w:tc>
        <w:tc>
          <w:tcPr>
            <w:tcW w:w="757" w:type="dxa"/>
            <w:tcBorders>
              <w:top w:val="nil"/>
              <w:left w:val="nil"/>
              <w:bottom w:val="nil"/>
              <w:right w:val="nil"/>
            </w:tcBorders>
            <w:shd w:val="clear" w:color="000000" w:fill="FFFFFF"/>
            <w:noWrap/>
            <w:hideMark/>
          </w:tcPr>
          <w:p w14:paraId="46FE80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[10,2]</w:t>
            </w:r>
          </w:p>
        </w:tc>
        <w:tc>
          <w:tcPr>
            <w:tcW w:w="416" w:type="dxa"/>
            <w:tcBorders>
              <w:top w:val="nil"/>
              <w:left w:val="nil"/>
              <w:bottom w:val="nil"/>
              <w:right w:val="nil"/>
            </w:tcBorders>
            <w:shd w:val="clear" w:color="000000" w:fill="FFFFFF"/>
            <w:noWrap/>
            <w:hideMark/>
          </w:tcPr>
          <w:p w14:paraId="2C8311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55,5</w:t>
            </w:r>
          </w:p>
        </w:tc>
        <w:tc>
          <w:tcPr>
            <w:tcW w:w="523" w:type="dxa"/>
            <w:tcBorders>
              <w:top w:val="nil"/>
              <w:left w:val="nil"/>
              <w:bottom w:val="nil"/>
              <w:right w:val="nil"/>
            </w:tcBorders>
            <w:shd w:val="clear" w:color="000000" w:fill="FFFFFF"/>
            <w:noWrap/>
            <w:hideMark/>
          </w:tcPr>
          <w:p w14:paraId="3B35888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[2,4]</w:t>
            </w:r>
          </w:p>
        </w:tc>
        <w:tc>
          <w:tcPr>
            <w:tcW w:w="1339" w:type="dxa"/>
            <w:tcBorders>
              <w:top w:val="nil"/>
              <w:left w:val="nil"/>
              <w:bottom w:val="nil"/>
              <w:right w:val="nil"/>
            </w:tcBorders>
            <w:shd w:val="clear" w:color="000000" w:fill="FFFFFF"/>
            <w:noWrap/>
            <w:hideMark/>
          </w:tcPr>
          <w:p w14:paraId="0FC3F6A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25,2</w:t>
            </w:r>
          </w:p>
        </w:tc>
        <w:tc>
          <w:tcPr>
            <w:tcW w:w="1065" w:type="dxa"/>
            <w:tcBorders>
              <w:top w:val="nil"/>
              <w:left w:val="nil"/>
              <w:bottom w:val="nil"/>
              <w:right w:val="nil"/>
            </w:tcBorders>
            <w:shd w:val="clear" w:color="000000" w:fill="FFFFFF"/>
            <w:noWrap/>
            <w:hideMark/>
          </w:tcPr>
          <w:p w14:paraId="6BD9C99E"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83,2</w:t>
            </w:r>
            <w:r w:rsidRPr="00367BEC">
              <w:rPr>
                <w:rFonts w:ascii="Times New Roman" w:hAnsi="Times New Roman"/>
                <w:b/>
                <w:color w:val="000000"/>
                <w:sz w:val="16"/>
                <w:vertAlign w:val="superscript"/>
              </w:rPr>
              <w:t>iii</w:t>
            </w:r>
          </w:p>
        </w:tc>
        <w:tc>
          <w:tcPr>
            <w:tcW w:w="809" w:type="dxa"/>
            <w:tcBorders>
              <w:top w:val="nil"/>
              <w:left w:val="nil"/>
              <w:bottom w:val="nil"/>
              <w:right w:val="nil"/>
            </w:tcBorders>
            <w:shd w:val="clear" w:color="000000" w:fill="FFFFFF"/>
            <w:noWrap/>
            <w:hideMark/>
          </w:tcPr>
          <w:p w14:paraId="1D189CA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543E55A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7669079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365410F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521C35C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1F4860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36AE9B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458A185" w14:textId="77777777" w:rsidTr="00CF1C1E">
        <w:trPr>
          <w:trHeight w:val="20"/>
        </w:trPr>
        <w:tc>
          <w:tcPr>
            <w:tcW w:w="1252" w:type="dxa"/>
            <w:tcBorders>
              <w:top w:val="nil"/>
              <w:left w:val="nil"/>
              <w:bottom w:val="nil"/>
              <w:right w:val="nil"/>
            </w:tcBorders>
            <w:shd w:val="clear" w:color="000000" w:fill="FFFFFF"/>
            <w:noWrap/>
            <w:hideMark/>
          </w:tcPr>
          <w:p w14:paraId="093C35B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65E601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43C4344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SF-12 PCSM</w:t>
            </w:r>
          </w:p>
        </w:tc>
        <w:tc>
          <w:tcPr>
            <w:tcW w:w="416" w:type="dxa"/>
            <w:tcBorders>
              <w:top w:val="nil"/>
              <w:left w:val="nil"/>
              <w:bottom w:val="nil"/>
              <w:right w:val="nil"/>
            </w:tcBorders>
            <w:shd w:val="clear" w:color="000000" w:fill="FFFFFF"/>
            <w:noWrap/>
            <w:hideMark/>
          </w:tcPr>
          <w:p w14:paraId="59177E9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30,5</w:t>
            </w:r>
          </w:p>
        </w:tc>
        <w:tc>
          <w:tcPr>
            <w:tcW w:w="757" w:type="dxa"/>
            <w:tcBorders>
              <w:top w:val="nil"/>
              <w:left w:val="nil"/>
              <w:bottom w:val="single" w:sz="8" w:space="0" w:color="auto"/>
              <w:right w:val="nil"/>
            </w:tcBorders>
            <w:shd w:val="clear" w:color="000000" w:fill="FFFFFF"/>
            <w:noWrap/>
            <w:hideMark/>
          </w:tcPr>
          <w:p w14:paraId="756009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[5,2]</w:t>
            </w:r>
          </w:p>
        </w:tc>
        <w:tc>
          <w:tcPr>
            <w:tcW w:w="416" w:type="dxa"/>
            <w:tcBorders>
              <w:top w:val="nil"/>
              <w:left w:val="nil"/>
              <w:bottom w:val="nil"/>
              <w:right w:val="nil"/>
            </w:tcBorders>
            <w:shd w:val="clear" w:color="000000" w:fill="FFFFFF"/>
            <w:noWrap/>
            <w:hideMark/>
          </w:tcPr>
          <w:p w14:paraId="0060DD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50,1</w:t>
            </w:r>
          </w:p>
        </w:tc>
        <w:tc>
          <w:tcPr>
            <w:tcW w:w="523" w:type="dxa"/>
            <w:tcBorders>
              <w:top w:val="nil"/>
              <w:left w:val="nil"/>
              <w:bottom w:val="single" w:sz="8" w:space="0" w:color="auto"/>
              <w:right w:val="nil"/>
            </w:tcBorders>
            <w:shd w:val="clear" w:color="000000" w:fill="FFFFFF"/>
            <w:noWrap/>
            <w:hideMark/>
          </w:tcPr>
          <w:p w14:paraId="1F1526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w:t>
            </w:r>
          </w:p>
        </w:tc>
        <w:tc>
          <w:tcPr>
            <w:tcW w:w="1339" w:type="dxa"/>
            <w:tcBorders>
              <w:top w:val="nil"/>
              <w:left w:val="nil"/>
              <w:bottom w:val="nil"/>
              <w:right w:val="nil"/>
            </w:tcBorders>
            <w:shd w:val="clear" w:color="000000" w:fill="FFFFFF"/>
            <w:noWrap/>
            <w:hideMark/>
          </w:tcPr>
          <w:p w14:paraId="09819A40"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19,6</w:t>
            </w:r>
          </w:p>
        </w:tc>
        <w:tc>
          <w:tcPr>
            <w:tcW w:w="1065" w:type="dxa"/>
            <w:tcBorders>
              <w:top w:val="nil"/>
              <w:left w:val="nil"/>
              <w:bottom w:val="nil"/>
              <w:right w:val="nil"/>
            </w:tcBorders>
            <w:shd w:val="clear" w:color="000000" w:fill="FFFFFF"/>
            <w:noWrap/>
            <w:hideMark/>
          </w:tcPr>
          <w:p w14:paraId="4C074B90"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64,3</w:t>
            </w:r>
            <w:r w:rsidRPr="00367BEC">
              <w:rPr>
                <w:rFonts w:ascii="Times New Roman" w:hAnsi="Times New Roman"/>
                <w:b/>
                <w:color w:val="000000"/>
                <w:sz w:val="16"/>
                <w:vertAlign w:val="superscript"/>
              </w:rPr>
              <w:t>iii</w:t>
            </w:r>
          </w:p>
        </w:tc>
        <w:tc>
          <w:tcPr>
            <w:tcW w:w="809" w:type="dxa"/>
            <w:tcBorders>
              <w:top w:val="nil"/>
              <w:left w:val="nil"/>
              <w:bottom w:val="nil"/>
              <w:right w:val="nil"/>
            </w:tcBorders>
            <w:shd w:val="clear" w:color="000000" w:fill="FFFFFF"/>
            <w:noWrap/>
            <w:hideMark/>
          </w:tcPr>
          <w:p w14:paraId="4EEAA3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1A9473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4C16C36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20524B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102B84A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708DB4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07654D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57387BA" w14:textId="77777777" w:rsidTr="00CF1C1E">
        <w:trPr>
          <w:trHeight w:val="20"/>
        </w:trPr>
        <w:tc>
          <w:tcPr>
            <w:tcW w:w="1252" w:type="dxa"/>
            <w:tcBorders>
              <w:top w:val="single" w:sz="8" w:space="0" w:color="auto"/>
              <w:left w:val="nil"/>
              <w:bottom w:val="nil"/>
              <w:right w:val="nil"/>
            </w:tcBorders>
            <w:shd w:val="clear" w:color="000000" w:fill="FFFFFF"/>
            <w:noWrap/>
            <w:hideMark/>
          </w:tcPr>
          <w:p w14:paraId="673951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Billeci</w:t>
            </w:r>
            <w:proofErr w:type="spellEnd"/>
            <w:r w:rsidRPr="00367BEC">
              <w:rPr>
                <w:rFonts w:ascii="Times New Roman" w:hAnsi="Times New Roman"/>
                <w:color w:val="000000"/>
                <w:sz w:val="16"/>
              </w:rPr>
              <w:t xml:space="preserve"> 2017</w:t>
            </w:r>
          </w:p>
        </w:tc>
        <w:tc>
          <w:tcPr>
            <w:tcW w:w="1105" w:type="dxa"/>
            <w:tcBorders>
              <w:top w:val="single" w:sz="8" w:space="0" w:color="auto"/>
              <w:left w:val="nil"/>
              <w:bottom w:val="nil"/>
              <w:right w:val="nil"/>
            </w:tcBorders>
            <w:shd w:val="clear" w:color="000000" w:fill="FFFFFF"/>
            <w:noWrap/>
            <w:hideMark/>
          </w:tcPr>
          <w:p w14:paraId="1CF36C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single" w:sz="8" w:space="0" w:color="auto"/>
              <w:left w:val="nil"/>
              <w:bottom w:val="nil"/>
              <w:right w:val="nil"/>
            </w:tcBorders>
            <w:shd w:val="clear" w:color="000000" w:fill="FFFFFF"/>
            <w:noWrap/>
            <w:hideMark/>
          </w:tcPr>
          <w:p w14:paraId="4187CD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 PCSF</w:t>
            </w:r>
          </w:p>
        </w:tc>
        <w:tc>
          <w:tcPr>
            <w:tcW w:w="416" w:type="dxa"/>
            <w:tcBorders>
              <w:top w:val="single" w:sz="8" w:space="0" w:color="auto"/>
              <w:left w:val="nil"/>
              <w:bottom w:val="nil"/>
              <w:right w:val="nil"/>
            </w:tcBorders>
            <w:shd w:val="clear" w:color="000000" w:fill="FFFFFF"/>
            <w:noWrap/>
            <w:hideMark/>
          </w:tcPr>
          <w:p w14:paraId="11E1E6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nil"/>
              <w:left w:val="nil"/>
              <w:bottom w:val="nil"/>
              <w:right w:val="nil"/>
            </w:tcBorders>
            <w:shd w:val="clear" w:color="000000" w:fill="FFFFFF"/>
            <w:noWrap/>
            <w:hideMark/>
          </w:tcPr>
          <w:p w14:paraId="2251FD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single" w:sz="8" w:space="0" w:color="auto"/>
              <w:left w:val="nil"/>
              <w:bottom w:val="nil"/>
              <w:right w:val="nil"/>
            </w:tcBorders>
            <w:shd w:val="clear" w:color="000000" w:fill="FFFFFF"/>
            <w:noWrap/>
            <w:hideMark/>
          </w:tcPr>
          <w:p w14:paraId="3E76F4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nil"/>
              <w:right w:val="nil"/>
            </w:tcBorders>
            <w:shd w:val="clear" w:color="000000" w:fill="FFFFFF"/>
            <w:noWrap/>
          </w:tcPr>
          <w:p w14:paraId="7499A25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2404" w:type="dxa"/>
            <w:gridSpan w:val="2"/>
            <w:tcBorders>
              <w:top w:val="single" w:sz="8" w:space="0" w:color="auto"/>
              <w:left w:val="nil"/>
              <w:bottom w:val="nil"/>
              <w:right w:val="nil"/>
            </w:tcBorders>
            <w:shd w:val="clear" w:color="000000" w:fill="FFFFFF"/>
            <w:noWrap/>
            <w:hideMark/>
          </w:tcPr>
          <w:p w14:paraId="44F54C2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Mejora</w:t>
            </w:r>
            <w:r w:rsidRPr="00367BEC">
              <w:rPr>
                <w:rFonts w:ascii="Times New Roman" w:hAnsi="Times New Roman"/>
                <w:b/>
                <w:color w:val="000000"/>
                <w:sz w:val="16"/>
                <w:vertAlign w:val="superscript"/>
              </w:rPr>
              <w:t>iii</w:t>
            </w:r>
            <w:proofErr w:type="spellEnd"/>
          </w:p>
        </w:tc>
        <w:tc>
          <w:tcPr>
            <w:tcW w:w="809" w:type="dxa"/>
            <w:tcBorders>
              <w:top w:val="single" w:sz="8" w:space="0" w:color="auto"/>
              <w:left w:val="nil"/>
              <w:bottom w:val="nil"/>
              <w:right w:val="nil"/>
            </w:tcBorders>
            <w:shd w:val="clear" w:color="000000" w:fill="FFFFFF"/>
            <w:noWrap/>
            <w:hideMark/>
          </w:tcPr>
          <w:p w14:paraId="117753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8" w:space="0" w:color="auto"/>
              <w:left w:val="nil"/>
              <w:bottom w:val="nil"/>
              <w:right w:val="nil"/>
            </w:tcBorders>
            <w:shd w:val="clear" w:color="000000" w:fill="FFFFFF"/>
            <w:noWrap/>
            <w:hideMark/>
          </w:tcPr>
          <w:p w14:paraId="29D2EA9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8" w:space="0" w:color="auto"/>
              <w:left w:val="nil"/>
              <w:bottom w:val="nil"/>
              <w:right w:val="nil"/>
            </w:tcBorders>
            <w:shd w:val="clear" w:color="000000" w:fill="FFFFFF"/>
            <w:noWrap/>
            <w:hideMark/>
          </w:tcPr>
          <w:p w14:paraId="1B7DB62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8" w:space="0" w:color="auto"/>
              <w:left w:val="nil"/>
              <w:bottom w:val="nil"/>
              <w:right w:val="nil"/>
            </w:tcBorders>
            <w:shd w:val="clear" w:color="000000" w:fill="FFFFFF"/>
            <w:noWrap/>
            <w:hideMark/>
          </w:tcPr>
          <w:p w14:paraId="40C121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8" w:space="0" w:color="auto"/>
              <w:left w:val="nil"/>
              <w:bottom w:val="nil"/>
              <w:right w:val="nil"/>
            </w:tcBorders>
            <w:shd w:val="clear" w:color="000000" w:fill="FFFFFF"/>
            <w:noWrap/>
            <w:hideMark/>
          </w:tcPr>
          <w:p w14:paraId="4C1DBC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8" w:space="0" w:color="auto"/>
              <w:left w:val="nil"/>
              <w:bottom w:val="nil"/>
              <w:right w:val="nil"/>
            </w:tcBorders>
            <w:shd w:val="clear" w:color="000000" w:fill="FFFFFF"/>
            <w:noWrap/>
            <w:hideMark/>
          </w:tcPr>
          <w:p w14:paraId="2BD081B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8" w:space="0" w:color="auto"/>
              <w:left w:val="nil"/>
              <w:bottom w:val="nil"/>
              <w:right w:val="nil"/>
            </w:tcBorders>
            <w:shd w:val="clear" w:color="000000" w:fill="FFFFFF"/>
            <w:noWrap/>
            <w:hideMark/>
          </w:tcPr>
          <w:p w14:paraId="790E522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96C841F" w14:textId="77777777" w:rsidTr="00CF1C1E">
        <w:trPr>
          <w:trHeight w:val="20"/>
        </w:trPr>
        <w:tc>
          <w:tcPr>
            <w:tcW w:w="1252" w:type="dxa"/>
            <w:tcBorders>
              <w:top w:val="nil"/>
              <w:left w:val="nil"/>
              <w:bottom w:val="single" w:sz="8" w:space="0" w:color="auto"/>
              <w:right w:val="nil"/>
            </w:tcBorders>
            <w:shd w:val="clear" w:color="000000" w:fill="FFFFFF"/>
            <w:noWrap/>
            <w:hideMark/>
          </w:tcPr>
          <w:p w14:paraId="2C2ABC5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8" w:space="0" w:color="auto"/>
              <w:right w:val="nil"/>
            </w:tcBorders>
            <w:shd w:val="clear" w:color="000000" w:fill="FFFFFF"/>
            <w:noWrap/>
            <w:hideMark/>
          </w:tcPr>
          <w:p w14:paraId="7E874FC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single" w:sz="8" w:space="0" w:color="auto"/>
              <w:right w:val="nil"/>
            </w:tcBorders>
            <w:shd w:val="clear" w:color="000000" w:fill="FFFFFF"/>
            <w:noWrap/>
            <w:hideMark/>
          </w:tcPr>
          <w:p w14:paraId="280C9C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 PCSM</w:t>
            </w:r>
          </w:p>
        </w:tc>
        <w:tc>
          <w:tcPr>
            <w:tcW w:w="416" w:type="dxa"/>
            <w:tcBorders>
              <w:top w:val="nil"/>
              <w:left w:val="nil"/>
              <w:bottom w:val="single" w:sz="8" w:space="0" w:color="auto"/>
              <w:right w:val="nil"/>
            </w:tcBorders>
            <w:shd w:val="clear" w:color="000000" w:fill="FFFFFF"/>
            <w:noWrap/>
            <w:hideMark/>
          </w:tcPr>
          <w:p w14:paraId="06CE43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nil"/>
              <w:left w:val="nil"/>
              <w:bottom w:val="single" w:sz="8" w:space="0" w:color="auto"/>
              <w:right w:val="nil"/>
            </w:tcBorders>
            <w:shd w:val="clear" w:color="000000" w:fill="FFFFFF"/>
            <w:noWrap/>
            <w:hideMark/>
          </w:tcPr>
          <w:p w14:paraId="320CEB7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nil"/>
              <w:left w:val="nil"/>
              <w:bottom w:val="single" w:sz="8" w:space="0" w:color="auto"/>
              <w:right w:val="nil"/>
            </w:tcBorders>
            <w:shd w:val="clear" w:color="000000" w:fill="FFFFFF"/>
            <w:noWrap/>
            <w:hideMark/>
          </w:tcPr>
          <w:p w14:paraId="34B116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single" w:sz="8" w:space="0" w:color="auto"/>
              <w:right w:val="nil"/>
            </w:tcBorders>
            <w:shd w:val="clear" w:color="000000" w:fill="FFFFFF"/>
            <w:noWrap/>
          </w:tcPr>
          <w:p w14:paraId="08ADC606"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2404" w:type="dxa"/>
            <w:gridSpan w:val="2"/>
            <w:tcBorders>
              <w:top w:val="nil"/>
              <w:left w:val="nil"/>
              <w:bottom w:val="single" w:sz="8" w:space="0" w:color="auto"/>
              <w:right w:val="nil"/>
            </w:tcBorders>
            <w:shd w:val="clear" w:color="000000" w:fill="FFFFFF"/>
            <w:noWrap/>
            <w:hideMark/>
          </w:tcPr>
          <w:p w14:paraId="0D9294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Mejora</w:t>
            </w:r>
            <w:r w:rsidRPr="00367BEC">
              <w:rPr>
                <w:rFonts w:ascii="Times New Roman" w:hAnsi="Times New Roman"/>
                <w:b/>
                <w:color w:val="000000"/>
                <w:sz w:val="16"/>
                <w:vertAlign w:val="superscript"/>
              </w:rPr>
              <w:t>iii</w:t>
            </w:r>
            <w:proofErr w:type="spellEnd"/>
          </w:p>
        </w:tc>
        <w:tc>
          <w:tcPr>
            <w:tcW w:w="809" w:type="dxa"/>
            <w:tcBorders>
              <w:top w:val="nil"/>
              <w:left w:val="nil"/>
              <w:bottom w:val="single" w:sz="8" w:space="0" w:color="auto"/>
              <w:right w:val="nil"/>
            </w:tcBorders>
            <w:shd w:val="clear" w:color="000000" w:fill="FFFFFF"/>
            <w:noWrap/>
            <w:hideMark/>
          </w:tcPr>
          <w:p w14:paraId="4B5F333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single" w:sz="8" w:space="0" w:color="auto"/>
              <w:right w:val="nil"/>
            </w:tcBorders>
            <w:shd w:val="clear" w:color="000000" w:fill="FFFFFF"/>
            <w:noWrap/>
            <w:hideMark/>
          </w:tcPr>
          <w:p w14:paraId="1E3C10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single" w:sz="8" w:space="0" w:color="auto"/>
              <w:right w:val="nil"/>
            </w:tcBorders>
            <w:shd w:val="clear" w:color="000000" w:fill="FFFFFF"/>
            <w:noWrap/>
            <w:hideMark/>
          </w:tcPr>
          <w:p w14:paraId="015BA5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single" w:sz="8" w:space="0" w:color="auto"/>
              <w:right w:val="nil"/>
            </w:tcBorders>
            <w:shd w:val="clear" w:color="000000" w:fill="FFFFFF"/>
            <w:noWrap/>
            <w:hideMark/>
          </w:tcPr>
          <w:p w14:paraId="33DC09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single" w:sz="8" w:space="0" w:color="auto"/>
              <w:right w:val="nil"/>
            </w:tcBorders>
            <w:shd w:val="clear" w:color="000000" w:fill="FFFFFF"/>
            <w:noWrap/>
            <w:hideMark/>
          </w:tcPr>
          <w:p w14:paraId="1B54654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single" w:sz="8" w:space="0" w:color="auto"/>
              <w:right w:val="nil"/>
            </w:tcBorders>
            <w:shd w:val="clear" w:color="000000" w:fill="FFFFFF"/>
            <w:noWrap/>
            <w:hideMark/>
          </w:tcPr>
          <w:p w14:paraId="0FBD6E0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single" w:sz="8" w:space="0" w:color="auto"/>
              <w:right w:val="nil"/>
            </w:tcBorders>
            <w:shd w:val="clear" w:color="000000" w:fill="FFFFFF"/>
            <w:noWrap/>
            <w:hideMark/>
          </w:tcPr>
          <w:p w14:paraId="7132EA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881A0A2" w14:textId="77777777" w:rsidTr="00CF1C1E">
        <w:trPr>
          <w:trHeight w:val="20"/>
        </w:trPr>
        <w:tc>
          <w:tcPr>
            <w:tcW w:w="1252" w:type="dxa"/>
            <w:tcBorders>
              <w:top w:val="nil"/>
              <w:left w:val="nil"/>
              <w:bottom w:val="nil"/>
              <w:right w:val="nil"/>
            </w:tcBorders>
            <w:shd w:val="clear" w:color="000000" w:fill="FFFFFF"/>
            <w:noWrap/>
            <w:hideMark/>
          </w:tcPr>
          <w:p w14:paraId="631563A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Guillen 2017</w:t>
            </w:r>
          </w:p>
        </w:tc>
        <w:tc>
          <w:tcPr>
            <w:tcW w:w="1105" w:type="dxa"/>
            <w:tcBorders>
              <w:top w:val="nil"/>
              <w:left w:val="nil"/>
              <w:bottom w:val="single" w:sz="4" w:space="0" w:color="D0CECE" w:themeColor="background2" w:themeShade="E6"/>
              <w:right w:val="nil"/>
            </w:tcBorders>
            <w:shd w:val="clear" w:color="000000" w:fill="FFFFFF"/>
            <w:noWrap/>
            <w:hideMark/>
          </w:tcPr>
          <w:p w14:paraId="469D58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563" w:type="dxa"/>
            <w:tcBorders>
              <w:top w:val="nil"/>
              <w:left w:val="nil"/>
              <w:bottom w:val="single" w:sz="4" w:space="0" w:color="D0CECE" w:themeColor="background2" w:themeShade="E6"/>
              <w:right w:val="nil"/>
            </w:tcBorders>
            <w:shd w:val="clear" w:color="000000" w:fill="FFFFFF"/>
            <w:noWrap/>
            <w:hideMark/>
          </w:tcPr>
          <w:p w14:paraId="1D62E8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w:t>
            </w:r>
          </w:p>
        </w:tc>
        <w:tc>
          <w:tcPr>
            <w:tcW w:w="1173" w:type="dxa"/>
            <w:gridSpan w:val="2"/>
            <w:tcBorders>
              <w:top w:val="nil"/>
              <w:left w:val="nil"/>
              <w:bottom w:val="single" w:sz="4" w:space="0" w:color="D0CECE" w:themeColor="background2" w:themeShade="E6"/>
              <w:right w:val="nil"/>
            </w:tcBorders>
            <w:shd w:val="clear" w:color="000000" w:fill="FFFFFF"/>
            <w:noWrap/>
            <w:hideMark/>
          </w:tcPr>
          <w:p w14:paraId="768A41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Puntuación más </w:t>
            </w:r>
            <w:proofErr w:type="spellStart"/>
            <w:r w:rsidRPr="00367BEC">
              <w:rPr>
                <w:rFonts w:ascii="Times New Roman" w:hAnsi="Times New Roman"/>
                <w:color w:val="000000"/>
                <w:sz w:val="16"/>
              </w:rPr>
              <w:t>alta</w:t>
            </w:r>
            <w:r w:rsidRPr="00367BEC">
              <w:rPr>
                <w:rFonts w:ascii="Times New Roman" w:hAnsi="Times New Roman"/>
                <w:b/>
                <w:color w:val="000000"/>
                <w:sz w:val="16"/>
                <w:vertAlign w:val="superscript"/>
              </w:rPr>
              <w:t>III</w:t>
            </w:r>
            <w:proofErr w:type="spellEnd"/>
            <w:r w:rsidRPr="00367BEC">
              <w:rPr>
                <w:rFonts w:ascii="Times New Roman" w:hAnsi="Times New Roman"/>
                <w:color w:val="000000"/>
                <w:sz w:val="16"/>
              </w:rPr>
              <w:t>  </w:t>
            </w:r>
          </w:p>
        </w:tc>
        <w:tc>
          <w:tcPr>
            <w:tcW w:w="416" w:type="dxa"/>
            <w:tcBorders>
              <w:top w:val="nil"/>
              <w:left w:val="nil"/>
              <w:bottom w:val="single" w:sz="4" w:space="0" w:color="D0CECE" w:themeColor="background2" w:themeShade="E6"/>
              <w:right w:val="nil"/>
            </w:tcBorders>
            <w:shd w:val="clear" w:color="000000" w:fill="FFFFFF"/>
            <w:noWrap/>
            <w:hideMark/>
          </w:tcPr>
          <w:p w14:paraId="30F96EE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single" w:sz="4" w:space="0" w:color="D0CECE" w:themeColor="background2" w:themeShade="E6"/>
              <w:right w:val="nil"/>
            </w:tcBorders>
            <w:shd w:val="clear" w:color="000000" w:fill="FFFFFF"/>
            <w:noWrap/>
            <w:hideMark/>
          </w:tcPr>
          <w:p w14:paraId="6C20C56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404" w:type="dxa"/>
            <w:gridSpan w:val="2"/>
            <w:tcBorders>
              <w:top w:val="single" w:sz="8" w:space="0" w:color="auto"/>
              <w:left w:val="nil"/>
              <w:bottom w:val="single" w:sz="4" w:space="0" w:color="D0CECE" w:themeColor="background2" w:themeShade="E6"/>
              <w:right w:val="nil"/>
            </w:tcBorders>
            <w:shd w:val="clear" w:color="000000" w:fill="FFFFFF"/>
            <w:noWrap/>
            <w:hideMark/>
          </w:tcPr>
          <w:p w14:paraId="4042A5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Mejora a los 7 </w:t>
            </w:r>
            <w:proofErr w:type="spellStart"/>
            <w:r w:rsidRPr="00367BEC">
              <w:rPr>
                <w:rFonts w:ascii="Times New Roman" w:hAnsi="Times New Roman"/>
                <w:color w:val="000000"/>
                <w:sz w:val="16"/>
              </w:rPr>
              <w:t>d</w:t>
            </w:r>
            <w:r w:rsidRPr="00367BEC">
              <w:rPr>
                <w:rFonts w:ascii="Times New Roman" w:hAnsi="Times New Roman"/>
                <w:b/>
                <w:color w:val="000000"/>
                <w:sz w:val="16"/>
                <w:vertAlign w:val="superscript"/>
              </w:rPr>
              <w:t>III</w:t>
            </w:r>
            <w:proofErr w:type="spellEnd"/>
          </w:p>
        </w:tc>
        <w:tc>
          <w:tcPr>
            <w:tcW w:w="809" w:type="dxa"/>
            <w:tcBorders>
              <w:top w:val="nil"/>
              <w:left w:val="nil"/>
              <w:bottom w:val="single" w:sz="4" w:space="0" w:color="D0CECE" w:themeColor="background2" w:themeShade="E6"/>
              <w:right w:val="nil"/>
            </w:tcBorders>
            <w:shd w:val="clear" w:color="000000" w:fill="FFFFFF"/>
            <w:noWrap/>
            <w:hideMark/>
          </w:tcPr>
          <w:p w14:paraId="57E0E84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single" w:sz="4" w:space="0" w:color="D0CECE" w:themeColor="background2" w:themeShade="E6"/>
              <w:right w:val="nil"/>
            </w:tcBorders>
            <w:shd w:val="clear" w:color="000000" w:fill="FFFFFF"/>
            <w:noWrap/>
            <w:hideMark/>
          </w:tcPr>
          <w:p w14:paraId="6A3B7DA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single" w:sz="4" w:space="0" w:color="D0CECE" w:themeColor="background2" w:themeShade="E6"/>
              <w:right w:val="nil"/>
            </w:tcBorders>
            <w:shd w:val="clear" w:color="000000" w:fill="FFFFFF"/>
            <w:noWrap/>
            <w:hideMark/>
          </w:tcPr>
          <w:p w14:paraId="074F45C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single" w:sz="4" w:space="0" w:color="D0CECE" w:themeColor="background2" w:themeShade="E6"/>
              <w:right w:val="nil"/>
            </w:tcBorders>
            <w:shd w:val="clear" w:color="000000" w:fill="FFFFFF"/>
            <w:noWrap/>
            <w:hideMark/>
          </w:tcPr>
          <w:p w14:paraId="0735D22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single" w:sz="4" w:space="0" w:color="D0CECE" w:themeColor="background2" w:themeShade="E6"/>
              <w:right w:val="nil"/>
            </w:tcBorders>
            <w:shd w:val="clear" w:color="000000" w:fill="FFFFFF"/>
            <w:noWrap/>
            <w:hideMark/>
          </w:tcPr>
          <w:p w14:paraId="36CB94E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single" w:sz="4" w:space="0" w:color="D0CECE" w:themeColor="background2" w:themeShade="E6"/>
              <w:right w:val="nil"/>
            </w:tcBorders>
            <w:shd w:val="clear" w:color="000000" w:fill="FFFFFF"/>
            <w:noWrap/>
            <w:hideMark/>
          </w:tcPr>
          <w:p w14:paraId="3B1C5C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single" w:sz="4" w:space="0" w:color="D0CECE" w:themeColor="background2" w:themeShade="E6"/>
              <w:right w:val="nil"/>
            </w:tcBorders>
            <w:shd w:val="clear" w:color="000000" w:fill="FFFFFF"/>
            <w:noWrap/>
            <w:hideMark/>
          </w:tcPr>
          <w:p w14:paraId="4A0FBAE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1CD4935" w14:textId="77777777" w:rsidTr="00CF1C1E">
        <w:trPr>
          <w:trHeight w:val="20"/>
        </w:trPr>
        <w:tc>
          <w:tcPr>
            <w:tcW w:w="1252" w:type="dxa"/>
            <w:tcBorders>
              <w:top w:val="nil"/>
              <w:left w:val="nil"/>
              <w:bottom w:val="single" w:sz="8" w:space="0" w:color="auto"/>
              <w:right w:val="nil"/>
            </w:tcBorders>
            <w:shd w:val="clear" w:color="000000" w:fill="FFFFFF"/>
            <w:noWrap/>
            <w:hideMark/>
          </w:tcPr>
          <w:p w14:paraId="7FFC3E9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single" w:sz="8" w:space="0" w:color="auto"/>
              <w:right w:val="nil"/>
            </w:tcBorders>
            <w:shd w:val="clear" w:color="000000" w:fill="FFFFFF"/>
            <w:noWrap/>
            <w:hideMark/>
          </w:tcPr>
          <w:p w14:paraId="0AFA1B9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TRA</w:t>
            </w:r>
            <w:r w:rsidRPr="00367BEC">
              <w:rPr>
                <w:rFonts w:ascii="Times New Roman" w:hAnsi="Times New Roman"/>
                <w:b/>
                <w:color w:val="000000"/>
                <w:sz w:val="20"/>
                <w:vertAlign w:val="superscript"/>
              </w:rPr>
              <w:t>a</w:t>
            </w:r>
            <w:proofErr w:type="spellEnd"/>
          </w:p>
        </w:tc>
        <w:tc>
          <w:tcPr>
            <w:tcW w:w="1563" w:type="dxa"/>
            <w:tcBorders>
              <w:top w:val="single" w:sz="4" w:space="0" w:color="D0CECE" w:themeColor="background2" w:themeShade="E6"/>
              <w:left w:val="nil"/>
              <w:bottom w:val="single" w:sz="8" w:space="0" w:color="auto"/>
              <w:right w:val="nil"/>
            </w:tcBorders>
            <w:shd w:val="clear" w:color="000000" w:fill="FFFFFF"/>
            <w:noWrap/>
            <w:hideMark/>
          </w:tcPr>
          <w:p w14:paraId="380170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2A34C1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single" w:sz="4" w:space="0" w:color="D0CECE" w:themeColor="background2" w:themeShade="E6"/>
              <w:left w:val="nil"/>
              <w:bottom w:val="single" w:sz="8" w:space="0" w:color="auto"/>
              <w:right w:val="nil"/>
            </w:tcBorders>
            <w:shd w:val="clear" w:color="000000" w:fill="FFFFFF"/>
            <w:noWrap/>
            <w:hideMark/>
          </w:tcPr>
          <w:p w14:paraId="44E19B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1E1D23E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single" w:sz="4" w:space="0" w:color="D0CECE" w:themeColor="background2" w:themeShade="E6"/>
              <w:left w:val="nil"/>
              <w:bottom w:val="single" w:sz="8" w:space="0" w:color="auto"/>
              <w:right w:val="nil"/>
            </w:tcBorders>
            <w:shd w:val="clear" w:color="000000" w:fill="FFFFFF"/>
            <w:noWrap/>
            <w:hideMark/>
          </w:tcPr>
          <w:p w14:paraId="5EF6D3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404" w:type="dxa"/>
            <w:gridSpan w:val="2"/>
            <w:tcBorders>
              <w:top w:val="single" w:sz="4" w:space="0" w:color="D0CECE" w:themeColor="background2" w:themeShade="E6"/>
              <w:left w:val="nil"/>
              <w:bottom w:val="single" w:sz="4" w:space="0" w:color="auto"/>
              <w:right w:val="nil"/>
            </w:tcBorders>
            <w:shd w:val="clear" w:color="000000" w:fill="FFFFFF"/>
            <w:noWrap/>
            <w:hideMark/>
          </w:tcPr>
          <w:p w14:paraId="3E2DB6E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Mejora a los 7 d</w:t>
            </w:r>
          </w:p>
        </w:tc>
        <w:tc>
          <w:tcPr>
            <w:tcW w:w="809" w:type="dxa"/>
            <w:tcBorders>
              <w:top w:val="single" w:sz="4" w:space="0" w:color="D0CECE" w:themeColor="background2" w:themeShade="E6"/>
              <w:left w:val="nil"/>
              <w:bottom w:val="single" w:sz="8" w:space="0" w:color="auto"/>
              <w:right w:val="nil"/>
            </w:tcBorders>
            <w:shd w:val="clear" w:color="000000" w:fill="FFFFFF"/>
            <w:noWrap/>
            <w:hideMark/>
          </w:tcPr>
          <w:p w14:paraId="7ACE29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4" w:space="0" w:color="D0CECE" w:themeColor="background2" w:themeShade="E6"/>
              <w:left w:val="nil"/>
              <w:bottom w:val="single" w:sz="8" w:space="0" w:color="auto"/>
              <w:right w:val="nil"/>
            </w:tcBorders>
            <w:shd w:val="clear" w:color="000000" w:fill="FFFFFF"/>
            <w:noWrap/>
            <w:hideMark/>
          </w:tcPr>
          <w:p w14:paraId="5222FF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4" w:space="0" w:color="D0CECE" w:themeColor="background2" w:themeShade="E6"/>
              <w:left w:val="nil"/>
              <w:bottom w:val="single" w:sz="8" w:space="0" w:color="auto"/>
              <w:right w:val="nil"/>
            </w:tcBorders>
            <w:shd w:val="clear" w:color="000000" w:fill="FFFFFF"/>
            <w:noWrap/>
            <w:hideMark/>
          </w:tcPr>
          <w:p w14:paraId="23B5E5D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4" w:space="0" w:color="D0CECE" w:themeColor="background2" w:themeShade="E6"/>
              <w:left w:val="nil"/>
              <w:bottom w:val="single" w:sz="8" w:space="0" w:color="auto"/>
              <w:right w:val="nil"/>
            </w:tcBorders>
            <w:shd w:val="clear" w:color="000000" w:fill="FFFFFF"/>
            <w:noWrap/>
            <w:hideMark/>
          </w:tcPr>
          <w:p w14:paraId="143FF40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4" w:space="0" w:color="D0CECE" w:themeColor="background2" w:themeShade="E6"/>
              <w:left w:val="nil"/>
              <w:bottom w:val="single" w:sz="8" w:space="0" w:color="auto"/>
              <w:right w:val="nil"/>
            </w:tcBorders>
            <w:shd w:val="clear" w:color="000000" w:fill="FFFFFF"/>
            <w:noWrap/>
            <w:hideMark/>
          </w:tcPr>
          <w:p w14:paraId="74807DF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4" w:space="0" w:color="D0CECE" w:themeColor="background2" w:themeShade="E6"/>
              <w:left w:val="nil"/>
              <w:bottom w:val="single" w:sz="8" w:space="0" w:color="auto"/>
              <w:right w:val="nil"/>
            </w:tcBorders>
            <w:shd w:val="clear" w:color="000000" w:fill="FFFFFF"/>
            <w:noWrap/>
            <w:hideMark/>
          </w:tcPr>
          <w:p w14:paraId="006E328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4" w:space="0" w:color="D0CECE" w:themeColor="background2" w:themeShade="E6"/>
              <w:left w:val="nil"/>
              <w:bottom w:val="single" w:sz="8" w:space="0" w:color="auto"/>
              <w:right w:val="nil"/>
            </w:tcBorders>
            <w:shd w:val="clear" w:color="000000" w:fill="FFFFFF"/>
            <w:noWrap/>
            <w:hideMark/>
          </w:tcPr>
          <w:p w14:paraId="1E94E9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A18A1AD" w14:textId="77777777" w:rsidTr="00CF1C1E">
        <w:trPr>
          <w:trHeight w:val="20"/>
        </w:trPr>
        <w:tc>
          <w:tcPr>
            <w:tcW w:w="1252" w:type="dxa"/>
            <w:tcBorders>
              <w:top w:val="nil"/>
              <w:left w:val="nil"/>
              <w:bottom w:val="nil"/>
              <w:right w:val="nil"/>
            </w:tcBorders>
            <w:shd w:val="clear" w:color="000000" w:fill="FFFFFF"/>
            <w:noWrap/>
            <w:hideMark/>
          </w:tcPr>
          <w:p w14:paraId="4B7E467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Ueberall</w:t>
            </w:r>
            <w:proofErr w:type="spellEnd"/>
            <w:r w:rsidRPr="00367BEC">
              <w:rPr>
                <w:rFonts w:ascii="Times New Roman" w:hAnsi="Times New Roman"/>
                <w:color w:val="000000"/>
                <w:sz w:val="16"/>
              </w:rPr>
              <w:t xml:space="preserve"> 2016</w:t>
            </w:r>
          </w:p>
        </w:tc>
        <w:tc>
          <w:tcPr>
            <w:tcW w:w="1105" w:type="dxa"/>
            <w:tcBorders>
              <w:top w:val="nil"/>
              <w:left w:val="nil"/>
              <w:bottom w:val="single" w:sz="4" w:space="0" w:color="D0CECE" w:themeColor="background2" w:themeShade="E6"/>
              <w:right w:val="nil"/>
            </w:tcBorders>
            <w:shd w:val="clear" w:color="000000" w:fill="FFFFFF"/>
            <w:noWrap/>
            <w:hideMark/>
          </w:tcPr>
          <w:p w14:paraId="46621B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563" w:type="dxa"/>
            <w:tcBorders>
              <w:top w:val="nil"/>
              <w:left w:val="nil"/>
              <w:bottom w:val="single" w:sz="4" w:space="0" w:color="D0CECE" w:themeColor="background2" w:themeShade="E6"/>
              <w:right w:val="nil"/>
            </w:tcBorders>
            <w:shd w:val="clear" w:color="000000" w:fill="FFFFFF"/>
            <w:noWrap/>
            <w:hideMark/>
          </w:tcPr>
          <w:p w14:paraId="3CB470B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EQ-5D-3L (ponderado)</w:t>
            </w:r>
          </w:p>
        </w:tc>
        <w:tc>
          <w:tcPr>
            <w:tcW w:w="416" w:type="dxa"/>
            <w:tcBorders>
              <w:top w:val="nil"/>
              <w:left w:val="nil"/>
              <w:bottom w:val="single" w:sz="4" w:space="0" w:color="D0CECE" w:themeColor="background2" w:themeShade="E6"/>
              <w:right w:val="nil"/>
            </w:tcBorders>
            <w:shd w:val="clear" w:color="000000" w:fill="FFFFFF"/>
            <w:noWrap/>
            <w:hideMark/>
          </w:tcPr>
          <w:p w14:paraId="71547E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0,4</w:t>
            </w:r>
          </w:p>
        </w:tc>
        <w:tc>
          <w:tcPr>
            <w:tcW w:w="757" w:type="dxa"/>
            <w:tcBorders>
              <w:top w:val="nil"/>
              <w:left w:val="nil"/>
              <w:bottom w:val="single" w:sz="4" w:space="0" w:color="D0CECE" w:themeColor="background2" w:themeShade="E6"/>
              <w:right w:val="nil"/>
            </w:tcBorders>
            <w:shd w:val="clear" w:color="000000" w:fill="FFFFFF"/>
            <w:noWrap/>
            <w:hideMark/>
          </w:tcPr>
          <w:p w14:paraId="519767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(0,3)</w:t>
            </w:r>
            <w:proofErr w:type="spellStart"/>
            <w:r w:rsidRPr="00367BEC">
              <w:rPr>
                <w:rFonts w:ascii="Times New Roman" w:hAnsi="Times New Roman"/>
                <w:b/>
                <w:color w:val="000000"/>
                <w:sz w:val="16"/>
                <w:vertAlign w:val="superscript"/>
              </w:rPr>
              <w:t>n.s.</w:t>
            </w:r>
            <w:proofErr w:type="spellEnd"/>
          </w:p>
        </w:tc>
        <w:tc>
          <w:tcPr>
            <w:tcW w:w="416" w:type="dxa"/>
            <w:tcBorders>
              <w:top w:val="nil"/>
              <w:left w:val="nil"/>
              <w:bottom w:val="single" w:sz="4" w:space="0" w:color="D0CECE" w:themeColor="background2" w:themeShade="E6"/>
              <w:right w:val="nil"/>
            </w:tcBorders>
            <w:shd w:val="clear" w:color="000000" w:fill="FFFFFF"/>
            <w:noWrap/>
            <w:hideMark/>
          </w:tcPr>
          <w:p w14:paraId="3869918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single" w:sz="4" w:space="0" w:color="D0CECE" w:themeColor="background2" w:themeShade="E6"/>
              <w:right w:val="nil"/>
            </w:tcBorders>
            <w:shd w:val="clear" w:color="000000" w:fill="FFFFFF"/>
            <w:noWrap/>
            <w:hideMark/>
          </w:tcPr>
          <w:p w14:paraId="44FFE8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339" w:type="dxa"/>
            <w:tcBorders>
              <w:top w:val="single" w:sz="8" w:space="0" w:color="auto"/>
              <w:left w:val="nil"/>
              <w:bottom w:val="single" w:sz="4" w:space="0" w:color="D0CECE" w:themeColor="background2" w:themeShade="E6"/>
              <w:right w:val="nil"/>
            </w:tcBorders>
            <w:shd w:val="clear" w:color="000000" w:fill="FFFFFF"/>
            <w:noWrap/>
            <w:hideMark/>
          </w:tcPr>
          <w:p w14:paraId="2876A4B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065" w:type="dxa"/>
            <w:tcBorders>
              <w:top w:val="single" w:sz="8" w:space="0" w:color="auto"/>
              <w:left w:val="nil"/>
              <w:bottom w:val="single" w:sz="4" w:space="0" w:color="D0CECE" w:themeColor="background2" w:themeShade="E6"/>
              <w:right w:val="nil"/>
            </w:tcBorders>
            <w:shd w:val="clear" w:color="000000" w:fill="FFFFFF"/>
            <w:noWrap/>
            <w:hideMark/>
          </w:tcPr>
          <w:p w14:paraId="6A9A3129"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09" w:type="dxa"/>
            <w:tcBorders>
              <w:top w:val="nil"/>
              <w:left w:val="nil"/>
              <w:bottom w:val="single" w:sz="4" w:space="0" w:color="D0CECE" w:themeColor="background2" w:themeShade="E6"/>
              <w:right w:val="nil"/>
            </w:tcBorders>
            <w:shd w:val="clear" w:color="000000" w:fill="FFFFFF"/>
            <w:noWrap/>
            <w:hideMark/>
          </w:tcPr>
          <w:p w14:paraId="385CD79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↑&gt;30 % (%)</w:t>
            </w:r>
          </w:p>
        </w:tc>
        <w:tc>
          <w:tcPr>
            <w:tcW w:w="724" w:type="dxa"/>
            <w:gridSpan w:val="2"/>
            <w:tcBorders>
              <w:top w:val="nil"/>
              <w:left w:val="nil"/>
              <w:bottom w:val="single" w:sz="4" w:space="0" w:color="D0CECE" w:themeColor="background2" w:themeShade="E6"/>
              <w:right w:val="nil"/>
            </w:tcBorders>
            <w:shd w:val="clear" w:color="000000" w:fill="FFFFFF"/>
            <w:noWrap/>
            <w:hideMark/>
          </w:tcPr>
          <w:p w14:paraId="5CC6E88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single" w:sz="4" w:space="0" w:color="D0CECE" w:themeColor="background2" w:themeShade="E6"/>
              <w:right w:val="nil"/>
            </w:tcBorders>
            <w:shd w:val="clear" w:color="000000" w:fill="FFFFFF"/>
            <w:noWrap/>
            <w:hideMark/>
          </w:tcPr>
          <w:p w14:paraId="55D3AA3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38" w:type="dxa"/>
            <w:tcBorders>
              <w:top w:val="nil"/>
              <w:left w:val="nil"/>
              <w:bottom w:val="single" w:sz="4" w:space="0" w:color="D0CECE" w:themeColor="background2" w:themeShade="E6"/>
              <w:right w:val="nil"/>
            </w:tcBorders>
            <w:shd w:val="clear" w:color="000000" w:fill="FFFFFF"/>
            <w:noWrap/>
            <w:hideMark/>
          </w:tcPr>
          <w:p w14:paraId="343596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63,9</w:t>
            </w:r>
          </w:p>
        </w:tc>
        <w:tc>
          <w:tcPr>
            <w:tcW w:w="811" w:type="dxa"/>
            <w:gridSpan w:val="3"/>
            <w:tcBorders>
              <w:top w:val="nil"/>
              <w:left w:val="nil"/>
              <w:bottom w:val="single" w:sz="4" w:space="0" w:color="D0CECE" w:themeColor="background2" w:themeShade="E6"/>
              <w:right w:val="nil"/>
            </w:tcBorders>
            <w:shd w:val="clear" w:color="000000" w:fill="FFFFFF"/>
            <w:noWrap/>
            <w:hideMark/>
          </w:tcPr>
          <w:p w14:paraId="06D4337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(85/133)</w:t>
            </w:r>
            <w:r w:rsidRPr="00367BEC">
              <w:rPr>
                <w:rFonts w:ascii="Times New Roman" w:hAnsi="Times New Roman"/>
                <w:b/>
                <w:color w:val="000000"/>
                <w:sz w:val="16"/>
                <w:vertAlign w:val="superscript"/>
              </w:rPr>
              <w:t xml:space="preserve"> I</w:t>
            </w:r>
          </w:p>
        </w:tc>
        <w:tc>
          <w:tcPr>
            <w:tcW w:w="881" w:type="dxa"/>
            <w:tcBorders>
              <w:top w:val="nil"/>
              <w:left w:val="nil"/>
              <w:bottom w:val="single" w:sz="4" w:space="0" w:color="D0CECE" w:themeColor="background2" w:themeShade="E6"/>
              <w:right w:val="nil"/>
            </w:tcBorders>
            <w:shd w:val="clear" w:color="000000" w:fill="FFFFFF"/>
            <w:noWrap/>
            <w:hideMark/>
          </w:tcPr>
          <w:p w14:paraId="15C7ED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single" w:sz="4" w:space="0" w:color="D0CECE" w:themeColor="background2" w:themeShade="E6"/>
              <w:right w:val="nil"/>
            </w:tcBorders>
            <w:shd w:val="clear" w:color="000000" w:fill="FFFFFF"/>
            <w:noWrap/>
            <w:hideMark/>
          </w:tcPr>
          <w:p w14:paraId="31E646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C75005B" w14:textId="77777777" w:rsidTr="00CF1C1E">
        <w:trPr>
          <w:trHeight w:val="20"/>
        </w:trPr>
        <w:tc>
          <w:tcPr>
            <w:tcW w:w="1252" w:type="dxa"/>
            <w:tcBorders>
              <w:top w:val="nil"/>
              <w:left w:val="nil"/>
              <w:bottom w:val="single" w:sz="4" w:space="0" w:color="auto"/>
              <w:right w:val="nil"/>
            </w:tcBorders>
            <w:shd w:val="clear" w:color="000000" w:fill="FFFFFF"/>
            <w:noWrap/>
            <w:hideMark/>
          </w:tcPr>
          <w:p w14:paraId="4DFF59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single" w:sz="4" w:space="0" w:color="auto"/>
              <w:right w:val="nil"/>
            </w:tcBorders>
            <w:shd w:val="clear" w:color="000000" w:fill="FFFFFF"/>
            <w:noWrap/>
            <w:hideMark/>
          </w:tcPr>
          <w:p w14:paraId="5821A29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OXN</w:t>
            </w:r>
          </w:p>
        </w:tc>
        <w:tc>
          <w:tcPr>
            <w:tcW w:w="1563" w:type="dxa"/>
            <w:tcBorders>
              <w:top w:val="single" w:sz="4" w:space="0" w:color="D0CECE" w:themeColor="background2" w:themeShade="E6"/>
              <w:left w:val="nil"/>
              <w:bottom w:val="single" w:sz="4" w:space="0" w:color="auto"/>
              <w:right w:val="nil"/>
            </w:tcBorders>
            <w:shd w:val="clear" w:color="000000" w:fill="FFFFFF"/>
            <w:noWrap/>
            <w:hideMark/>
          </w:tcPr>
          <w:p w14:paraId="1D673D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EQ-5D-3L (ponderado)</w:t>
            </w:r>
          </w:p>
        </w:tc>
        <w:tc>
          <w:tcPr>
            <w:tcW w:w="416" w:type="dxa"/>
            <w:tcBorders>
              <w:top w:val="single" w:sz="4" w:space="0" w:color="D0CECE" w:themeColor="background2" w:themeShade="E6"/>
              <w:left w:val="nil"/>
              <w:bottom w:val="single" w:sz="4" w:space="0" w:color="auto"/>
              <w:right w:val="nil"/>
            </w:tcBorders>
            <w:shd w:val="clear" w:color="000000" w:fill="FFFFFF"/>
            <w:noWrap/>
            <w:hideMark/>
          </w:tcPr>
          <w:p w14:paraId="1CBF29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0,4</w:t>
            </w:r>
          </w:p>
        </w:tc>
        <w:tc>
          <w:tcPr>
            <w:tcW w:w="757" w:type="dxa"/>
            <w:tcBorders>
              <w:top w:val="single" w:sz="4" w:space="0" w:color="D0CECE" w:themeColor="background2" w:themeShade="E6"/>
              <w:left w:val="nil"/>
              <w:bottom w:val="single" w:sz="4" w:space="0" w:color="auto"/>
              <w:right w:val="nil"/>
            </w:tcBorders>
            <w:shd w:val="clear" w:color="000000" w:fill="FFFFFF"/>
            <w:noWrap/>
            <w:hideMark/>
          </w:tcPr>
          <w:p w14:paraId="6CADB7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(0,3)</w:t>
            </w:r>
          </w:p>
        </w:tc>
        <w:tc>
          <w:tcPr>
            <w:tcW w:w="416" w:type="dxa"/>
            <w:tcBorders>
              <w:top w:val="single" w:sz="4" w:space="0" w:color="D0CECE" w:themeColor="background2" w:themeShade="E6"/>
              <w:left w:val="nil"/>
              <w:bottom w:val="single" w:sz="4" w:space="0" w:color="auto"/>
              <w:right w:val="nil"/>
            </w:tcBorders>
            <w:shd w:val="clear" w:color="000000" w:fill="FFFFFF"/>
            <w:noWrap/>
            <w:hideMark/>
          </w:tcPr>
          <w:p w14:paraId="5F73B5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single" w:sz="4" w:space="0" w:color="D0CECE" w:themeColor="background2" w:themeShade="E6"/>
              <w:left w:val="nil"/>
              <w:bottom w:val="single" w:sz="4" w:space="0" w:color="auto"/>
              <w:right w:val="nil"/>
            </w:tcBorders>
            <w:shd w:val="clear" w:color="000000" w:fill="FFFFFF"/>
            <w:noWrap/>
            <w:hideMark/>
          </w:tcPr>
          <w:p w14:paraId="750451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339" w:type="dxa"/>
            <w:tcBorders>
              <w:top w:val="single" w:sz="4" w:space="0" w:color="D0CECE" w:themeColor="background2" w:themeShade="E6"/>
              <w:left w:val="nil"/>
              <w:bottom w:val="single" w:sz="4" w:space="0" w:color="auto"/>
              <w:right w:val="nil"/>
            </w:tcBorders>
            <w:shd w:val="clear" w:color="000000" w:fill="FFFFFF"/>
            <w:noWrap/>
            <w:hideMark/>
          </w:tcPr>
          <w:p w14:paraId="41C4A23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065" w:type="dxa"/>
            <w:tcBorders>
              <w:top w:val="single" w:sz="4" w:space="0" w:color="D0CECE" w:themeColor="background2" w:themeShade="E6"/>
              <w:left w:val="nil"/>
              <w:bottom w:val="single" w:sz="4" w:space="0" w:color="auto"/>
              <w:right w:val="nil"/>
            </w:tcBorders>
            <w:shd w:val="clear" w:color="000000" w:fill="FFFFFF"/>
            <w:noWrap/>
            <w:hideMark/>
          </w:tcPr>
          <w:p w14:paraId="2F90BED3" w14:textId="77777777" w:rsidR="002E4D99" w:rsidRPr="00367BEC" w:rsidRDefault="002E4D99" w:rsidP="00CF1C1E">
            <w:pPr>
              <w:spacing w:after="0" w:line="240" w:lineRule="auto"/>
              <w:rPr>
                <w:rFonts w:ascii="Times New Roman" w:eastAsia="Times New Roman" w:hAnsi="Times New Roman" w:cs="Times New Roman"/>
                <w:color w:val="000000"/>
                <w:sz w:val="16"/>
                <w:szCs w:val="16"/>
                <w:lang w:eastAsia="es-ES"/>
              </w:rPr>
            </w:pPr>
          </w:p>
        </w:tc>
        <w:tc>
          <w:tcPr>
            <w:tcW w:w="809" w:type="dxa"/>
            <w:tcBorders>
              <w:top w:val="single" w:sz="4" w:space="0" w:color="D0CECE" w:themeColor="background2" w:themeShade="E6"/>
              <w:left w:val="nil"/>
              <w:bottom w:val="single" w:sz="4" w:space="0" w:color="auto"/>
              <w:right w:val="nil"/>
            </w:tcBorders>
            <w:shd w:val="clear" w:color="000000" w:fill="FFFFFF"/>
            <w:noWrap/>
            <w:hideMark/>
          </w:tcPr>
          <w:p w14:paraId="5EF575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↑&gt;30 % (%)</w:t>
            </w:r>
          </w:p>
        </w:tc>
        <w:tc>
          <w:tcPr>
            <w:tcW w:w="724" w:type="dxa"/>
            <w:gridSpan w:val="2"/>
            <w:tcBorders>
              <w:top w:val="single" w:sz="4" w:space="0" w:color="D0CECE" w:themeColor="background2" w:themeShade="E6"/>
              <w:left w:val="nil"/>
              <w:bottom w:val="single" w:sz="4" w:space="0" w:color="auto"/>
              <w:right w:val="nil"/>
            </w:tcBorders>
            <w:shd w:val="clear" w:color="000000" w:fill="FFFFFF"/>
            <w:noWrap/>
            <w:hideMark/>
          </w:tcPr>
          <w:p w14:paraId="099B299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4" w:space="0" w:color="D0CECE" w:themeColor="background2" w:themeShade="E6"/>
              <w:left w:val="nil"/>
              <w:bottom w:val="single" w:sz="4" w:space="0" w:color="auto"/>
              <w:right w:val="nil"/>
            </w:tcBorders>
            <w:shd w:val="clear" w:color="000000" w:fill="FFFFFF"/>
            <w:noWrap/>
            <w:hideMark/>
          </w:tcPr>
          <w:p w14:paraId="20982F7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338" w:type="dxa"/>
            <w:tcBorders>
              <w:top w:val="single" w:sz="4" w:space="0" w:color="D0CECE" w:themeColor="background2" w:themeShade="E6"/>
              <w:left w:val="nil"/>
              <w:bottom w:val="single" w:sz="4" w:space="0" w:color="auto"/>
              <w:right w:val="nil"/>
            </w:tcBorders>
            <w:shd w:val="clear" w:color="000000" w:fill="FFFFFF"/>
            <w:noWrap/>
            <w:hideMark/>
          </w:tcPr>
          <w:p w14:paraId="0961FAB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76,6</w:t>
            </w:r>
          </w:p>
        </w:tc>
        <w:tc>
          <w:tcPr>
            <w:tcW w:w="811" w:type="dxa"/>
            <w:gridSpan w:val="3"/>
            <w:tcBorders>
              <w:top w:val="single" w:sz="4" w:space="0" w:color="D0CECE" w:themeColor="background2" w:themeShade="E6"/>
              <w:left w:val="nil"/>
              <w:bottom w:val="single" w:sz="4" w:space="0" w:color="auto"/>
              <w:right w:val="nil"/>
            </w:tcBorders>
            <w:shd w:val="clear" w:color="000000" w:fill="FFFFFF"/>
            <w:noWrap/>
            <w:hideMark/>
          </w:tcPr>
          <w:p w14:paraId="0EDC1C7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(98/128)</w:t>
            </w:r>
          </w:p>
        </w:tc>
        <w:tc>
          <w:tcPr>
            <w:tcW w:w="881" w:type="dxa"/>
            <w:tcBorders>
              <w:top w:val="single" w:sz="4" w:space="0" w:color="D0CECE" w:themeColor="background2" w:themeShade="E6"/>
              <w:left w:val="nil"/>
              <w:bottom w:val="single" w:sz="4" w:space="0" w:color="auto"/>
              <w:right w:val="nil"/>
            </w:tcBorders>
            <w:shd w:val="clear" w:color="000000" w:fill="FFFFFF"/>
            <w:noWrap/>
            <w:hideMark/>
          </w:tcPr>
          <w:p w14:paraId="2D3BEC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4" w:space="0" w:color="D0CECE" w:themeColor="background2" w:themeShade="E6"/>
              <w:left w:val="nil"/>
              <w:bottom w:val="single" w:sz="4" w:space="0" w:color="auto"/>
              <w:right w:val="nil"/>
            </w:tcBorders>
            <w:shd w:val="clear" w:color="000000" w:fill="FFFFFF"/>
            <w:noWrap/>
            <w:hideMark/>
          </w:tcPr>
          <w:p w14:paraId="6EE6EF3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90FD847" w14:textId="77777777" w:rsidTr="00CF1C1E">
        <w:trPr>
          <w:trHeight w:val="20"/>
        </w:trPr>
        <w:tc>
          <w:tcPr>
            <w:tcW w:w="1252" w:type="dxa"/>
            <w:tcBorders>
              <w:top w:val="single" w:sz="4" w:space="0" w:color="auto"/>
              <w:left w:val="nil"/>
              <w:bottom w:val="nil"/>
              <w:right w:val="nil"/>
            </w:tcBorders>
            <w:shd w:val="clear" w:color="000000" w:fill="FFFFFF"/>
            <w:noWrap/>
            <w:hideMark/>
          </w:tcPr>
          <w:p w14:paraId="1F9B6D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Samolsky</w:t>
            </w:r>
            <w:proofErr w:type="spellEnd"/>
            <w:r w:rsidRPr="00367BEC">
              <w:rPr>
                <w:rFonts w:ascii="Times New Roman" w:hAnsi="Times New Roman"/>
                <w:color w:val="000000"/>
                <w:sz w:val="16"/>
              </w:rPr>
              <w:t xml:space="preserve"> 2015</w:t>
            </w:r>
          </w:p>
        </w:tc>
        <w:tc>
          <w:tcPr>
            <w:tcW w:w="1105" w:type="dxa"/>
            <w:tcBorders>
              <w:top w:val="single" w:sz="4" w:space="0" w:color="auto"/>
              <w:left w:val="nil"/>
              <w:bottom w:val="nil"/>
              <w:right w:val="nil"/>
            </w:tcBorders>
            <w:shd w:val="clear" w:color="000000" w:fill="FFFFFF"/>
            <w:noWrap/>
            <w:hideMark/>
          </w:tcPr>
          <w:p w14:paraId="28B1F0A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single" w:sz="4" w:space="0" w:color="auto"/>
              <w:left w:val="nil"/>
              <w:bottom w:val="nil"/>
              <w:right w:val="nil"/>
            </w:tcBorders>
            <w:shd w:val="clear" w:color="000000" w:fill="FFFFFF"/>
            <w:noWrap/>
            <w:hideMark/>
          </w:tcPr>
          <w:p w14:paraId="4D69BA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SF-12 PCSF</w:t>
            </w:r>
          </w:p>
        </w:tc>
        <w:tc>
          <w:tcPr>
            <w:tcW w:w="416" w:type="dxa"/>
            <w:tcBorders>
              <w:top w:val="single" w:sz="4" w:space="0" w:color="auto"/>
              <w:left w:val="nil"/>
              <w:bottom w:val="nil"/>
              <w:right w:val="nil"/>
            </w:tcBorders>
            <w:shd w:val="clear" w:color="000000" w:fill="FFFFFF"/>
            <w:noWrap/>
            <w:hideMark/>
          </w:tcPr>
          <w:p w14:paraId="6C29F11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29,7</w:t>
            </w:r>
          </w:p>
        </w:tc>
        <w:tc>
          <w:tcPr>
            <w:tcW w:w="757" w:type="dxa"/>
            <w:tcBorders>
              <w:top w:val="single" w:sz="4" w:space="0" w:color="auto"/>
              <w:left w:val="nil"/>
              <w:bottom w:val="nil"/>
              <w:right w:val="nil"/>
            </w:tcBorders>
            <w:shd w:val="clear" w:color="000000" w:fill="FFFFFF"/>
            <w:noWrap/>
            <w:hideMark/>
          </w:tcPr>
          <w:p w14:paraId="2013763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[11,4]</w:t>
            </w:r>
          </w:p>
        </w:tc>
        <w:tc>
          <w:tcPr>
            <w:tcW w:w="416" w:type="dxa"/>
            <w:tcBorders>
              <w:top w:val="single" w:sz="4" w:space="0" w:color="auto"/>
              <w:left w:val="nil"/>
              <w:bottom w:val="nil"/>
              <w:right w:val="nil"/>
            </w:tcBorders>
            <w:shd w:val="clear" w:color="000000" w:fill="FFFFFF"/>
            <w:noWrap/>
            <w:hideMark/>
          </w:tcPr>
          <w:p w14:paraId="25AC15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35,8</w:t>
            </w:r>
          </w:p>
        </w:tc>
        <w:tc>
          <w:tcPr>
            <w:tcW w:w="523" w:type="dxa"/>
            <w:tcBorders>
              <w:top w:val="single" w:sz="4" w:space="0" w:color="auto"/>
              <w:left w:val="nil"/>
              <w:bottom w:val="nil"/>
              <w:right w:val="nil"/>
            </w:tcBorders>
            <w:shd w:val="clear" w:color="000000" w:fill="FFFFFF"/>
            <w:noWrap/>
            <w:hideMark/>
          </w:tcPr>
          <w:p w14:paraId="55CED9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[18,1]</w:t>
            </w:r>
          </w:p>
        </w:tc>
        <w:tc>
          <w:tcPr>
            <w:tcW w:w="1339" w:type="dxa"/>
            <w:tcBorders>
              <w:top w:val="single" w:sz="4" w:space="0" w:color="auto"/>
              <w:left w:val="nil"/>
              <w:bottom w:val="nil"/>
              <w:right w:val="nil"/>
            </w:tcBorders>
            <w:shd w:val="clear" w:color="000000" w:fill="FFFFFF"/>
            <w:noWrap/>
            <w:hideMark/>
          </w:tcPr>
          <w:p w14:paraId="7B879C7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6,1</w:t>
            </w:r>
          </w:p>
        </w:tc>
        <w:tc>
          <w:tcPr>
            <w:tcW w:w="1065" w:type="dxa"/>
            <w:tcBorders>
              <w:top w:val="single" w:sz="4" w:space="0" w:color="auto"/>
              <w:left w:val="nil"/>
              <w:bottom w:val="nil"/>
              <w:right w:val="nil"/>
            </w:tcBorders>
            <w:shd w:val="clear" w:color="000000" w:fill="FFFFFF"/>
            <w:noWrap/>
            <w:hideMark/>
          </w:tcPr>
          <w:p w14:paraId="1C8A642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20,5</w:t>
            </w:r>
            <w:r w:rsidRPr="00367BEC">
              <w:rPr>
                <w:rFonts w:ascii="Times New Roman" w:hAnsi="Times New Roman"/>
                <w:b/>
                <w:color w:val="000000"/>
                <w:sz w:val="16"/>
                <w:vertAlign w:val="superscript"/>
              </w:rPr>
              <w:t>ii</w:t>
            </w:r>
          </w:p>
        </w:tc>
        <w:tc>
          <w:tcPr>
            <w:tcW w:w="809" w:type="dxa"/>
            <w:tcBorders>
              <w:top w:val="single" w:sz="4" w:space="0" w:color="auto"/>
              <w:left w:val="nil"/>
              <w:bottom w:val="nil"/>
              <w:right w:val="nil"/>
            </w:tcBorders>
            <w:shd w:val="clear" w:color="000000" w:fill="FFFFFF"/>
            <w:noWrap/>
            <w:hideMark/>
          </w:tcPr>
          <w:p w14:paraId="043063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4" w:space="0" w:color="auto"/>
              <w:left w:val="nil"/>
              <w:bottom w:val="nil"/>
              <w:right w:val="nil"/>
            </w:tcBorders>
            <w:shd w:val="clear" w:color="000000" w:fill="FFFFFF"/>
            <w:noWrap/>
            <w:hideMark/>
          </w:tcPr>
          <w:p w14:paraId="4F6864C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4" w:space="0" w:color="auto"/>
              <w:left w:val="nil"/>
              <w:bottom w:val="nil"/>
              <w:right w:val="nil"/>
            </w:tcBorders>
            <w:shd w:val="clear" w:color="000000" w:fill="FFFFFF"/>
            <w:noWrap/>
            <w:hideMark/>
          </w:tcPr>
          <w:p w14:paraId="72EEFB7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4" w:space="0" w:color="auto"/>
              <w:left w:val="nil"/>
              <w:bottom w:val="nil"/>
              <w:right w:val="nil"/>
            </w:tcBorders>
            <w:shd w:val="clear" w:color="000000" w:fill="FFFFFF"/>
            <w:noWrap/>
            <w:hideMark/>
          </w:tcPr>
          <w:p w14:paraId="5532B20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4" w:space="0" w:color="auto"/>
              <w:left w:val="nil"/>
              <w:bottom w:val="nil"/>
              <w:right w:val="nil"/>
            </w:tcBorders>
            <w:shd w:val="clear" w:color="000000" w:fill="FFFFFF"/>
            <w:noWrap/>
            <w:hideMark/>
          </w:tcPr>
          <w:p w14:paraId="14E51C5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4" w:space="0" w:color="auto"/>
              <w:left w:val="nil"/>
              <w:bottom w:val="nil"/>
              <w:right w:val="nil"/>
            </w:tcBorders>
            <w:shd w:val="clear" w:color="000000" w:fill="FFFFFF"/>
            <w:noWrap/>
            <w:hideMark/>
          </w:tcPr>
          <w:p w14:paraId="347D5FB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4" w:space="0" w:color="auto"/>
              <w:left w:val="nil"/>
              <w:bottom w:val="nil"/>
              <w:right w:val="nil"/>
            </w:tcBorders>
            <w:shd w:val="clear" w:color="000000" w:fill="FFFFFF"/>
            <w:noWrap/>
            <w:hideMark/>
          </w:tcPr>
          <w:p w14:paraId="48CCEF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47305D26" w14:textId="77777777" w:rsidTr="00CF1C1E">
        <w:trPr>
          <w:trHeight w:val="20"/>
        </w:trPr>
        <w:tc>
          <w:tcPr>
            <w:tcW w:w="1252" w:type="dxa"/>
            <w:tcBorders>
              <w:top w:val="nil"/>
              <w:left w:val="nil"/>
              <w:bottom w:val="nil"/>
              <w:right w:val="nil"/>
            </w:tcBorders>
            <w:shd w:val="clear" w:color="000000" w:fill="FFFFFF"/>
            <w:noWrap/>
            <w:hideMark/>
          </w:tcPr>
          <w:p w14:paraId="6FE921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5DC9CD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21CBC24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SF-12 PCSM</w:t>
            </w:r>
          </w:p>
        </w:tc>
        <w:tc>
          <w:tcPr>
            <w:tcW w:w="416" w:type="dxa"/>
            <w:tcBorders>
              <w:top w:val="nil"/>
              <w:left w:val="nil"/>
              <w:bottom w:val="nil"/>
              <w:right w:val="nil"/>
            </w:tcBorders>
            <w:shd w:val="clear" w:color="000000" w:fill="FFFFFF"/>
            <w:noWrap/>
            <w:hideMark/>
          </w:tcPr>
          <w:p w14:paraId="20E959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52,4</w:t>
            </w:r>
          </w:p>
        </w:tc>
        <w:tc>
          <w:tcPr>
            <w:tcW w:w="757" w:type="dxa"/>
            <w:tcBorders>
              <w:top w:val="nil"/>
              <w:left w:val="nil"/>
              <w:bottom w:val="single" w:sz="8" w:space="0" w:color="auto"/>
              <w:right w:val="nil"/>
            </w:tcBorders>
            <w:shd w:val="clear" w:color="000000" w:fill="FFFFFF"/>
            <w:noWrap/>
            <w:hideMark/>
          </w:tcPr>
          <w:p w14:paraId="331DCA7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[19,1]</w:t>
            </w:r>
          </w:p>
        </w:tc>
        <w:tc>
          <w:tcPr>
            <w:tcW w:w="416" w:type="dxa"/>
            <w:tcBorders>
              <w:top w:val="nil"/>
              <w:left w:val="nil"/>
              <w:bottom w:val="nil"/>
              <w:right w:val="nil"/>
            </w:tcBorders>
            <w:shd w:val="clear" w:color="000000" w:fill="FFFFFF"/>
            <w:noWrap/>
            <w:hideMark/>
          </w:tcPr>
          <w:p w14:paraId="18EE34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53,5</w:t>
            </w:r>
          </w:p>
        </w:tc>
        <w:tc>
          <w:tcPr>
            <w:tcW w:w="523" w:type="dxa"/>
            <w:tcBorders>
              <w:top w:val="nil"/>
              <w:left w:val="nil"/>
              <w:bottom w:val="single" w:sz="8" w:space="0" w:color="auto"/>
              <w:right w:val="nil"/>
            </w:tcBorders>
            <w:shd w:val="clear" w:color="000000" w:fill="FFFFFF"/>
            <w:noWrap/>
            <w:hideMark/>
          </w:tcPr>
          <w:p w14:paraId="05541A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[3,2]</w:t>
            </w:r>
          </w:p>
        </w:tc>
        <w:tc>
          <w:tcPr>
            <w:tcW w:w="1339" w:type="dxa"/>
            <w:tcBorders>
              <w:top w:val="nil"/>
              <w:left w:val="nil"/>
              <w:bottom w:val="nil"/>
              <w:right w:val="nil"/>
            </w:tcBorders>
            <w:shd w:val="clear" w:color="000000" w:fill="FFFFFF"/>
            <w:noWrap/>
            <w:hideMark/>
          </w:tcPr>
          <w:p w14:paraId="0694373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1,1</w:t>
            </w:r>
          </w:p>
        </w:tc>
        <w:tc>
          <w:tcPr>
            <w:tcW w:w="1065" w:type="dxa"/>
            <w:tcBorders>
              <w:top w:val="nil"/>
              <w:left w:val="nil"/>
              <w:bottom w:val="nil"/>
              <w:right w:val="nil"/>
            </w:tcBorders>
            <w:shd w:val="clear" w:color="000000" w:fill="FFFFFF"/>
            <w:noWrap/>
            <w:hideMark/>
          </w:tcPr>
          <w:p w14:paraId="7F17C4B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2,1</w:t>
            </w:r>
            <w:r w:rsidRPr="00367BEC">
              <w:rPr>
                <w:rFonts w:ascii="Times New Roman" w:hAnsi="Times New Roman"/>
                <w:b/>
                <w:color w:val="000000"/>
                <w:sz w:val="16"/>
                <w:vertAlign w:val="superscript"/>
              </w:rPr>
              <w:t>n.s.</w:t>
            </w:r>
          </w:p>
        </w:tc>
        <w:tc>
          <w:tcPr>
            <w:tcW w:w="809" w:type="dxa"/>
            <w:tcBorders>
              <w:top w:val="nil"/>
              <w:left w:val="nil"/>
              <w:bottom w:val="nil"/>
              <w:right w:val="nil"/>
            </w:tcBorders>
            <w:shd w:val="clear" w:color="000000" w:fill="FFFFFF"/>
            <w:noWrap/>
            <w:hideMark/>
          </w:tcPr>
          <w:p w14:paraId="4DE1E0F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6D7F563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491A6B1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158A604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789CCD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3273413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0A99BE9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F663FEF" w14:textId="77777777" w:rsidTr="00CF1C1E">
        <w:trPr>
          <w:trHeight w:val="20"/>
        </w:trPr>
        <w:tc>
          <w:tcPr>
            <w:tcW w:w="1252" w:type="dxa"/>
            <w:tcBorders>
              <w:top w:val="single" w:sz="8" w:space="0" w:color="auto"/>
              <w:left w:val="nil"/>
              <w:bottom w:val="nil"/>
              <w:right w:val="nil"/>
            </w:tcBorders>
            <w:shd w:val="clear" w:color="000000" w:fill="FFFFFF"/>
            <w:noWrap/>
            <w:hideMark/>
          </w:tcPr>
          <w:p w14:paraId="257255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Strick</w:t>
            </w:r>
            <w:proofErr w:type="spellEnd"/>
            <w:r w:rsidRPr="00367BEC">
              <w:rPr>
                <w:rFonts w:ascii="Times New Roman" w:hAnsi="Times New Roman"/>
                <w:color w:val="000000"/>
                <w:sz w:val="16"/>
              </w:rPr>
              <w:t xml:space="preserve"> 2014</w:t>
            </w:r>
          </w:p>
        </w:tc>
        <w:tc>
          <w:tcPr>
            <w:tcW w:w="1105" w:type="dxa"/>
            <w:tcBorders>
              <w:top w:val="single" w:sz="8" w:space="0" w:color="auto"/>
              <w:left w:val="nil"/>
              <w:bottom w:val="single" w:sz="4" w:space="0" w:color="D0CECE" w:themeColor="background2" w:themeShade="E6"/>
              <w:right w:val="nil"/>
            </w:tcBorders>
            <w:shd w:val="clear" w:color="000000" w:fill="FFFFFF"/>
            <w:noWrap/>
            <w:hideMark/>
          </w:tcPr>
          <w:p w14:paraId="2E488E1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(3 m)</w:t>
            </w:r>
          </w:p>
        </w:tc>
        <w:tc>
          <w:tcPr>
            <w:tcW w:w="1563" w:type="dxa"/>
            <w:tcBorders>
              <w:top w:val="single" w:sz="8" w:space="0" w:color="auto"/>
              <w:left w:val="nil"/>
              <w:bottom w:val="single" w:sz="4" w:space="0" w:color="D0CECE" w:themeColor="background2" w:themeShade="E6"/>
              <w:right w:val="nil"/>
            </w:tcBorders>
            <w:shd w:val="clear" w:color="000000" w:fill="FFFFFF"/>
            <w:noWrap/>
            <w:hideMark/>
          </w:tcPr>
          <w:p w14:paraId="307ECA1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CdV</w:t>
            </w:r>
            <w:proofErr w:type="spellEnd"/>
            <w:r w:rsidRPr="00367BEC">
              <w:rPr>
                <w:rFonts w:ascii="Times New Roman" w:hAnsi="Times New Roman"/>
                <w:color w:val="000000"/>
                <w:sz w:val="16"/>
              </w:rPr>
              <w:t xml:space="preserve"> EVN-11-4sem</w:t>
            </w:r>
          </w:p>
        </w:tc>
        <w:tc>
          <w:tcPr>
            <w:tcW w:w="416" w:type="dxa"/>
            <w:tcBorders>
              <w:top w:val="single" w:sz="8" w:space="0" w:color="auto"/>
              <w:left w:val="nil"/>
              <w:bottom w:val="single" w:sz="4" w:space="0" w:color="D0CECE" w:themeColor="background2" w:themeShade="E6"/>
              <w:right w:val="nil"/>
            </w:tcBorders>
            <w:shd w:val="clear" w:color="000000" w:fill="FFFFFF"/>
            <w:noWrap/>
            <w:hideMark/>
          </w:tcPr>
          <w:p w14:paraId="0B1C8D4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w:t>
            </w:r>
          </w:p>
        </w:tc>
        <w:tc>
          <w:tcPr>
            <w:tcW w:w="757" w:type="dxa"/>
            <w:tcBorders>
              <w:top w:val="nil"/>
              <w:left w:val="nil"/>
              <w:bottom w:val="single" w:sz="4" w:space="0" w:color="D0CECE" w:themeColor="background2" w:themeShade="E6"/>
              <w:right w:val="nil"/>
            </w:tcBorders>
            <w:shd w:val="clear" w:color="000000" w:fill="FFFFFF"/>
            <w:noWrap/>
            <w:hideMark/>
          </w:tcPr>
          <w:p w14:paraId="6163E4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(2,0)</w:t>
            </w:r>
          </w:p>
        </w:tc>
        <w:tc>
          <w:tcPr>
            <w:tcW w:w="416" w:type="dxa"/>
            <w:tcBorders>
              <w:top w:val="single" w:sz="8" w:space="0" w:color="auto"/>
              <w:left w:val="nil"/>
              <w:bottom w:val="single" w:sz="4" w:space="0" w:color="D0CECE" w:themeColor="background2" w:themeShade="E6"/>
              <w:right w:val="nil"/>
            </w:tcBorders>
            <w:shd w:val="clear" w:color="000000" w:fill="FFFFFF"/>
            <w:noWrap/>
            <w:hideMark/>
          </w:tcPr>
          <w:p w14:paraId="504EA0A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4,3</w:t>
            </w:r>
          </w:p>
        </w:tc>
        <w:tc>
          <w:tcPr>
            <w:tcW w:w="523" w:type="dxa"/>
            <w:tcBorders>
              <w:top w:val="nil"/>
              <w:left w:val="nil"/>
              <w:bottom w:val="single" w:sz="4" w:space="0" w:color="D0CECE" w:themeColor="background2" w:themeShade="E6"/>
              <w:right w:val="nil"/>
            </w:tcBorders>
            <w:shd w:val="clear" w:color="000000" w:fill="FFFFFF"/>
            <w:noWrap/>
            <w:hideMark/>
          </w:tcPr>
          <w:p w14:paraId="73755E3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(2,4)</w:t>
            </w:r>
          </w:p>
        </w:tc>
        <w:tc>
          <w:tcPr>
            <w:tcW w:w="1339" w:type="dxa"/>
            <w:tcBorders>
              <w:top w:val="single" w:sz="8" w:space="0" w:color="auto"/>
              <w:left w:val="nil"/>
              <w:bottom w:val="single" w:sz="4" w:space="0" w:color="D0CECE" w:themeColor="background2" w:themeShade="E6"/>
              <w:right w:val="nil"/>
            </w:tcBorders>
            <w:shd w:val="clear" w:color="000000" w:fill="FFFFFF"/>
            <w:noWrap/>
            <w:hideMark/>
          </w:tcPr>
          <w:p w14:paraId="78AC250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−2,1</w:t>
            </w:r>
          </w:p>
        </w:tc>
        <w:tc>
          <w:tcPr>
            <w:tcW w:w="1065" w:type="dxa"/>
            <w:tcBorders>
              <w:top w:val="single" w:sz="8" w:space="0" w:color="auto"/>
              <w:left w:val="nil"/>
              <w:bottom w:val="single" w:sz="4" w:space="0" w:color="D0CECE" w:themeColor="background2" w:themeShade="E6"/>
              <w:right w:val="nil"/>
            </w:tcBorders>
            <w:shd w:val="clear" w:color="000000" w:fill="FFFFFF"/>
            <w:noWrap/>
            <w:hideMark/>
          </w:tcPr>
          <w:p w14:paraId="7F14FDC4"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−32,3</w:t>
            </w:r>
            <w:r w:rsidRPr="00367BEC">
              <w:rPr>
                <w:rFonts w:ascii="Times New Roman" w:hAnsi="Times New Roman"/>
                <w:b/>
                <w:color w:val="000000"/>
                <w:sz w:val="16"/>
                <w:vertAlign w:val="superscript"/>
              </w:rPr>
              <w:t>iii</w:t>
            </w:r>
          </w:p>
        </w:tc>
        <w:tc>
          <w:tcPr>
            <w:tcW w:w="809" w:type="dxa"/>
            <w:tcBorders>
              <w:top w:val="single" w:sz="8" w:space="0" w:color="auto"/>
              <w:left w:val="nil"/>
              <w:bottom w:val="single" w:sz="4" w:space="0" w:color="D0CECE" w:themeColor="background2" w:themeShade="E6"/>
              <w:right w:val="nil"/>
            </w:tcBorders>
            <w:shd w:val="clear" w:color="000000" w:fill="FFFFFF"/>
            <w:noWrap/>
            <w:hideMark/>
          </w:tcPr>
          <w:p w14:paraId="635837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8" w:space="0" w:color="auto"/>
              <w:left w:val="nil"/>
              <w:bottom w:val="single" w:sz="4" w:space="0" w:color="D0CECE" w:themeColor="background2" w:themeShade="E6"/>
              <w:right w:val="nil"/>
            </w:tcBorders>
            <w:shd w:val="clear" w:color="000000" w:fill="FFFFFF"/>
            <w:noWrap/>
            <w:hideMark/>
          </w:tcPr>
          <w:p w14:paraId="4A43AD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8" w:space="0" w:color="auto"/>
              <w:left w:val="nil"/>
              <w:bottom w:val="single" w:sz="4" w:space="0" w:color="D0CECE" w:themeColor="background2" w:themeShade="E6"/>
              <w:right w:val="nil"/>
            </w:tcBorders>
            <w:shd w:val="clear" w:color="000000" w:fill="FFFFFF"/>
            <w:noWrap/>
            <w:hideMark/>
          </w:tcPr>
          <w:p w14:paraId="216517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8" w:space="0" w:color="auto"/>
              <w:left w:val="nil"/>
              <w:bottom w:val="single" w:sz="4" w:space="0" w:color="D0CECE" w:themeColor="background2" w:themeShade="E6"/>
              <w:right w:val="nil"/>
            </w:tcBorders>
            <w:shd w:val="clear" w:color="000000" w:fill="FFFFFF"/>
            <w:noWrap/>
            <w:hideMark/>
          </w:tcPr>
          <w:p w14:paraId="3E4DA0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8" w:space="0" w:color="auto"/>
              <w:left w:val="nil"/>
              <w:bottom w:val="single" w:sz="4" w:space="0" w:color="D0CECE" w:themeColor="background2" w:themeShade="E6"/>
              <w:right w:val="nil"/>
            </w:tcBorders>
            <w:shd w:val="clear" w:color="000000" w:fill="FFFFFF"/>
            <w:noWrap/>
            <w:hideMark/>
          </w:tcPr>
          <w:p w14:paraId="4312663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8" w:space="0" w:color="auto"/>
              <w:left w:val="nil"/>
              <w:bottom w:val="single" w:sz="4" w:space="0" w:color="D0CECE" w:themeColor="background2" w:themeShade="E6"/>
              <w:right w:val="nil"/>
            </w:tcBorders>
            <w:shd w:val="clear" w:color="000000" w:fill="FFFFFF"/>
            <w:noWrap/>
            <w:hideMark/>
          </w:tcPr>
          <w:p w14:paraId="33E7925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8" w:space="0" w:color="auto"/>
              <w:left w:val="nil"/>
              <w:bottom w:val="single" w:sz="4" w:space="0" w:color="D0CECE" w:themeColor="background2" w:themeShade="E6"/>
              <w:right w:val="nil"/>
            </w:tcBorders>
            <w:shd w:val="clear" w:color="000000" w:fill="FFFFFF"/>
            <w:noWrap/>
            <w:hideMark/>
          </w:tcPr>
          <w:p w14:paraId="55E6B97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0921CAF6" w14:textId="77777777" w:rsidTr="00CF1C1E">
        <w:trPr>
          <w:trHeight w:val="20"/>
        </w:trPr>
        <w:tc>
          <w:tcPr>
            <w:tcW w:w="1252" w:type="dxa"/>
            <w:tcBorders>
              <w:top w:val="nil"/>
              <w:left w:val="nil"/>
              <w:bottom w:val="single" w:sz="8" w:space="0" w:color="auto"/>
              <w:right w:val="nil"/>
            </w:tcBorders>
            <w:shd w:val="clear" w:color="000000" w:fill="FFFFFF"/>
            <w:noWrap/>
            <w:hideMark/>
          </w:tcPr>
          <w:p w14:paraId="60AF79A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single" w:sz="4" w:space="0" w:color="D0CECE" w:themeColor="background2" w:themeShade="E6"/>
              <w:left w:val="nil"/>
              <w:bottom w:val="single" w:sz="8" w:space="0" w:color="auto"/>
              <w:right w:val="nil"/>
            </w:tcBorders>
            <w:shd w:val="clear" w:color="000000" w:fill="FFFFFF"/>
            <w:noWrap/>
            <w:hideMark/>
          </w:tcPr>
          <w:p w14:paraId="46DB06F6" w14:textId="7F29E8D5"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 (12</w:t>
            </w:r>
            <w:r w:rsidR="00626B16">
              <w:rPr>
                <w:rFonts w:ascii="Times New Roman" w:hAnsi="Times New Roman"/>
                <w:color w:val="000000"/>
                <w:sz w:val="16"/>
              </w:rPr>
              <w:t xml:space="preserve"> </w:t>
            </w:r>
            <w:r w:rsidRPr="00367BEC">
              <w:rPr>
                <w:rFonts w:ascii="Times New Roman" w:hAnsi="Times New Roman"/>
                <w:color w:val="000000"/>
                <w:sz w:val="16"/>
              </w:rPr>
              <w:t>m)</w:t>
            </w:r>
          </w:p>
        </w:tc>
        <w:tc>
          <w:tcPr>
            <w:tcW w:w="1563" w:type="dxa"/>
            <w:tcBorders>
              <w:top w:val="single" w:sz="4" w:space="0" w:color="D0CECE" w:themeColor="background2" w:themeShade="E6"/>
              <w:left w:val="nil"/>
              <w:bottom w:val="single" w:sz="8" w:space="0" w:color="auto"/>
              <w:right w:val="nil"/>
            </w:tcBorders>
            <w:shd w:val="clear" w:color="000000" w:fill="FFFFFF"/>
            <w:noWrap/>
            <w:hideMark/>
          </w:tcPr>
          <w:p w14:paraId="5BA6D88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CdV</w:t>
            </w:r>
            <w:proofErr w:type="spellEnd"/>
            <w:r w:rsidRPr="00367BEC">
              <w:rPr>
                <w:rFonts w:ascii="Times New Roman" w:hAnsi="Times New Roman"/>
                <w:color w:val="000000"/>
                <w:sz w:val="16"/>
              </w:rPr>
              <w:t xml:space="preserve"> EVN-11-4sem</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2ACE29C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w:t>
            </w:r>
          </w:p>
        </w:tc>
        <w:tc>
          <w:tcPr>
            <w:tcW w:w="757" w:type="dxa"/>
            <w:tcBorders>
              <w:top w:val="single" w:sz="4" w:space="0" w:color="D0CECE" w:themeColor="background2" w:themeShade="E6"/>
              <w:left w:val="nil"/>
              <w:bottom w:val="single" w:sz="8" w:space="0" w:color="auto"/>
              <w:right w:val="nil"/>
            </w:tcBorders>
            <w:shd w:val="clear" w:color="000000" w:fill="FFFFFF"/>
            <w:noWrap/>
            <w:hideMark/>
          </w:tcPr>
          <w:p w14:paraId="4225BCF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single" w:sz="4" w:space="0" w:color="D0CECE" w:themeColor="background2" w:themeShade="E6"/>
              <w:left w:val="nil"/>
              <w:bottom w:val="single" w:sz="8" w:space="0" w:color="auto"/>
              <w:right w:val="nil"/>
            </w:tcBorders>
            <w:shd w:val="clear" w:color="000000" w:fill="FFFFFF"/>
            <w:noWrap/>
            <w:hideMark/>
          </w:tcPr>
          <w:p w14:paraId="3CCF2B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3,1</w:t>
            </w:r>
          </w:p>
        </w:tc>
        <w:tc>
          <w:tcPr>
            <w:tcW w:w="523" w:type="dxa"/>
            <w:tcBorders>
              <w:top w:val="single" w:sz="4" w:space="0" w:color="D0CECE" w:themeColor="background2" w:themeShade="E6"/>
              <w:left w:val="nil"/>
              <w:bottom w:val="single" w:sz="8" w:space="0" w:color="auto"/>
              <w:right w:val="nil"/>
            </w:tcBorders>
            <w:shd w:val="clear" w:color="000000" w:fill="FFFFFF"/>
            <w:noWrap/>
            <w:hideMark/>
          </w:tcPr>
          <w:p w14:paraId="72BF949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339" w:type="dxa"/>
            <w:tcBorders>
              <w:top w:val="single" w:sz="4" w:space="0" w:color="D0CECE" w:themeColor="background2" w:themeShade="E6"/>
              <w:left w:val="nil"/>
              <w:bottom w:val="single" w:sz="8" w:space="0" w:color="auto"/>
              <w:right w:val="nil"/>
            </w:tcBorders>
            <w:shd w:val="clear" w:color="000000" w:fill="FFFFFF"/>
            <w:noWrap/>
            <w:hideMark/>
          </w:tcPr>
          <w:p w14:paraId="3AB4E7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−3,4</w:t>
            </w:r>
          </w:p>
        </w:tc>
        <w:tc>
          <w:tcPr>
            <w:tcW w:w="1065" w:type="dxa"/>
            <w:tcBorders>
              <w:top w:val="single" w:sz="4" w:space="0" w:color="D0CECE" w:themeColor="background2" w:themeShade="E6"/>
              <w:left w:val="nil"/>
              <w:bottom w:val="single" w:sz="8" w:space="0" w:color="auto"/>
              <w:right w:val="nil"/>
            </w:tcBorders>
            <w:shd w:val="clear" w:color="000000" w:fill="FFFFFF"/>
            <w:noWrap/>
            <w:hideMark/>
          </w:tcPr>
          <w:p w14:paraId="4930A06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−52,3</w:t>
            </w:r>
            <w:r w:rsidRPr="00367BEC">
              <w:rPr>
                <w:rFonts w:ascii="Times New Roman" w:hAnsi="Times New Roman"/>
                <w:b/>
                <w:color w:val="000000"/>
                <w:sz w:val="16"/>
                <w:vertAlign w:val="superscript"/>
              </w:rPr>
              <w:t>iii</w:t>
            </w:r>
          </w:p>
        </w:tc>
        <w:tc>
          <w:tcPr>
            <w:tcW w:w="809" w:type="dxa"/>
            <w:tcBorders>
              <w:top w:val="single" w:sz="4" w:space="0" w:color="D0CECE" w:themeColor="background2" w:themeShade="E6"/>
              <w:left w:val="nil"/>
              <w:bottom w:val="single" w:sz="8" w:space="0" w:color="auto"/>
              <w:right w:val="nil"/>
            </w:tcBorders>
            <w:shd w:val="clear" w:color="000000" w:fill="FFFFFF"/>
            <w:noWrap/>
            <w:hideMark/>
          </w:tcPr>
          <w:p w14:paraId="69860D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4" w:space="0" w:color="D0CECE" w:themeColor="background2" w:themeShade="E6"/>
              <w:left w:val="nil"/>
              <w:bottom w:val="single" w:sz="8" w:space="0" w:color="auto"/>
              <w:right w:val="nil"/>
            </w:tcBorders>
            <w:shd w:val="clear" w:color="000000" w:fill="FFFFFF"/>
            <w:noWrap/>
            <w:hideMark/>
          </w:tcPr>
          <w:p w14:paraId="56C558D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4" w:space="0" w:color="D0CECE" w:themeColor="background2" w:themeShade="E6"/>
              <w:left w:val="nil"/>
              <w:bottom w:val="single" w:sz="8" w:space="0" w:color="auto"/>
              <w:right w:val="nil"/>
            </w:tcBorders>
            <w:shd w:val="clear" w:color="000000" w:fill="FFFFFF"/>
            <w:noWrap/>
            <w:hideMark/>
          </w:tcPr>
          <w:p w14:paraId="6BED0B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4" w:space="0" w:color="D0CECE" w:themeColor="background2" w:themeShade="E6"/>
              <w:left w:val="nil"/>
              <w:bottom w:val="single" w:sz="8" w:space="0" w:color="auto"/>
              <w:right w:val="nil"/>
            </w:tcBorders>
            <w:shd w:val="clear" w:color="000000" w:fill="FFFFFF"/>
            <w:noWrap/>
            <w:hideMark/>
          </w:tcPr>
          <w:p w14:paraId="7FDBB1E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4" w:space="0" w:color="D0CECE" w:themeColor="background2" w:themeShade="E6"/>
              <w:left w:val="nil"/>
              <w:bottom w:val="single" w:sz="8" w:space="0" w:color="auto"/>
              <w:right w:val="nil"/>
            </w:tcBorders>
            <w:shd w:val="clear" w:color="000000" w:fill="FFFFFF"/>
            <w:noWrap/>
            <w:hideMark/>
          </w:tcPr>
          <w:p w14:paraId="2A44E76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4" w:space="0" w:color="D0CECE" w:themeColor="background2" w:themeShade="E6"/>
              <w:left w:val="nil"/>
              <w:bottom w:val="single" w:sz="8" w:space="0" w:color="auto"/>
              <w:right w:val="nil"/>
            </w:tcBorders>
            <w:shd w:val="clear" w:color="000000" w:fill="FFFFFF"/>
            <w:noWrap/>
            <w:hideMark/>
          </w:tcPr>
          <w:p w14:paraId="306D1C7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4" w:space="0" w:color="D0CECE" w:themeColor="background2" w:themeShade="E6"/>
              <w:left w:val="nil"/>
              <w:bottom w:val="single" w:sz="8" w:space="0" w:color="auto"/>
              <w:right w:val="nil"/>
            </w:tcBorders>
            <w:shd w:val="clear" w:color="000000" w:fill="FFFFFF"/>
            <w:noWrap/>
            <w:hideMark/>
          </w:tcPr>
          <w:p w14:paraId="64EA3C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39B03F9F" w14:textId="77777777" w:rsidTr="00CF1C1E">
        <w:trPr>
          <w:trHeight w:val="20"/>
        </w:trPr>
        <w:tc>
          <w:tcPr>
            <w:tcW w:w="1252" w:type="dxa"/>
            <w:tcBorders>
              <w:top w:val="nil"/>
              <w:left w:val="nil"/>
              <w:bottom w:val="nil"/>
              <w:right w:val="nil"/>
            </w:tcBorders>
            <w:shd w:val="clear" w:color="000000" w:fill="FFFFFF"/>
            <w:noWrap/>
            <w:hideMark/>
          </w:tcPr>
          <w:p w14:paraId="7073FB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Schwittay</w:t>
            </w:r>
            <w:proofErr w:type="spellEnd"/>
            <w:r w:rsidRPr="00367BEC">
              <w:rPr>
                <w:rFonts w:ascii="Times New Roman" w:hAnsi="Times New Roman"/>
                <w:color w:val="000000"/>
                <w:sz w:val="16"/>
              </w:rPr>
              <w:t xml:space="preserve"> 2013</w:t>
            </w:r>
          </w:p>
        </w:tc>
        <w:tc>
          <w:tcPr>
            <w:tcW w:w="1105" w:type="dxa"/>
            <w:tcBorders>
              <w:top w:val="nil"/>
              <w:left w:val="nil"/>
              <w:bottom w:val="nil"/>
              <w:right w:val="nil"/>
            </w:tcBorders>
            <w:shd w:val="clear" w:color="000000" w:fill="FFFFFF"/>
            <w:noWrap/>
            <w:hideMark/>
          </w:tcPr>
          <w:p w14:paraId="2C8E2AC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nil"/>
              <w:left w:val="nil"/>
              <w:bottom w:val="nil"/>
              <w:right w:val="nil"/>
            </w:tcBorders>
            <w:shd w:val="clear" w:color="000000" w:fill="FFFFFF"/>
            <w:noWrap/>
            <w:hideMark/>
          </w:tcPr>
          <w:p w14:paraId="650AE9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CdV</w:t>
            </w:r>
            <w:proofErr w:type="spellEnd"/>
            <w:r w:rsidRPr="00367BEC">
              <w:rPr>
                <w:rFonts w:ascii="Times New Roman" w:hAnsi="Times New Roman"/>
                <w:color w:val="000000"/>
                <w:sz w:val="16"/>
              </w:rPr>
              <w:t xml:space="preserve"> EVN-11-4sem</w:t>
            </w:r>
          </w:p>
        </w:tc>
        <w:tc>
          <w:tcPr>
            <w:tcW w:w="416" w:type="dxa"/>
            <w:tcBorders>
              <w:top w:val="nil"/>
              <w:left w:val="nil"/>
              <w:bottom w:val="nil"/>
              <w:right w:val="nil"/>
            </w:tcBorders>
            <w:shd w:val="clear" w:color="000000" w:fill="FFFFFF"/>
            <w:noWrap/>
            <w:hideMark/>
          </w:tcPr>
          <w:p w14:paraId="6EADE1D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6,8</w:t>
            </w:r>
          </w:p>
        </w:tc>
        <w:tc>
          <w:tcPr>
            <w:tcW w:w="757" w:type="dxa"/>
            <w:tcBorders>
              <w:top w:val="nil"/>
              <w:left w:val="nil"/>
              <w:bottom w:val="nil"/>
              <w:right w:val="nil"/>
            </w:tcBorders>
            <w:shd w:val="clear" w:color="000000" w:fill="FFFFFF"/>
            <w:noWrap/>
            <w:hideMark/>
          </w:tcPr>
          <w:p w14:paraId="1FBCFF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nil"/>
              <w:left w:val="nil"/>
              <w:bottom w:val="nil"/>
              <w:right w:val="nil"/>
            </w:tcBorders>
            <w:shd w:val="clear" w:color="000000" w:fill="FFFFFF"/>
            <w:noWrap/>
            <w:hideMark/>
          </w:tcPr>
          <w:p w14:paraId="30AFD1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3,2</w:t>
            </w:r>
          </w:p>
        </w:tc>
        <w:tc>
          <w:tcPr>
            <w:tcW w:w="523" w:type="dxa"/>
            <w:tcBorders>
              <w:top w:val="nil"/>
              <w:left w:val="nil"/>
              <w:bottom w:val="single" w:sz="8" w:space="0" w:color="auto"/>
              <w:right w:val="nil"/>
            </w:tcBorders>
            <w:shd w:val="clear" w:color="000000" w:fill="FFFFFF"/>
            <w:noWrap/>
            <w:hideMark/>
          </w:tcPr>
          <w:p w14:paraId="63F648F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(1,9)</w:t>
            </w:r>
          </w:p>
        </w:tc>
        <w:tc>
          <w:tcPr>
            <w:tcW w:w="1339" w:type="dxa"/>
            <w:tcBorders>
              <w:top w:val="nil"/>
              <w:left w:val="nil"/>
              <w:bottom w:val="nil"/>
              <w:right w:val="nil"/>
            </w:tcBorders>
            <w:shd w:val="clear" w:color="000000" w:fill="FFFFFF"/>
            <w:noWrap/>
            <w:hideMark/>
          </w:tcPr>
          <w:p w14:paraId="7A59CFC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−3,5</w:t>
            </w:r>
          </w:p>
        </w:tc>
        <w:tc>
          <w:tcPr>
            <w:tcW w:w="1065" w:type="dxa"/>
            <w:tcBorders>
              <w:top w:val="nil"/>
              <w:left w:val="nil"/>
              <w:bottom w:val="nil"/>
              <w:right w:val="nil"/>
            </w:tcBorders>
            <w:shd w:val="clear" w:color="000000" w:fill="FFFFFF"/>
            <w:noWrap/>
            <w:hideMark/>
          </w:tcPr>
          <w:p w14:paraId="6284A09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−51,5</w:t>
            </w:r>
            <w:r w:rsidRPr="00367BEC">
              <w:rPr>
                <w:rFonts w:ascii="Times New Roman" w:hAnsi="Times New Roman"/>
                <w:b/>
                <w:color w:val="000000"/>
                <w:sz w:val="16"/>
                <w:vertAlign w:val="superscript"/>
              </w:rPr>
              <w:t>iii</w:t>
            </w:r>
          </w:p>
        </w:tc>
        <w:tc>
          <w:tcPr>
            <w:tcW w:w="809" w:type="dxa"/>
            <w:tcBorders>
              <w:top w:val="nil"/>
              <w:left w:val="nil"/>
              <w:bottom w:val="nil"/>
              <w:right w:val="nil"/>
            </w:tcBorders>
            <w:shd w:val="clear" w:color="000000" w:fill="FFFFFF"/>
            <w:noWrap/>
            <w:hideMark/>
          </w:tcPr>
          <w:p w14:paraId="1510B90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3D9675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50348DF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0B36AE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4BCB44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5013B1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1E90F2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7BC2F70" w14:textId="77777777" w:rsidTr="00CF1C1E">
        <w:trPr>
          <w:trHeight w:val="20"/>
        </w:trPr>
        <w:tc>
          <w:tcPr>
            <w:tcW w:w="1252" w:type="dxa"/>
            <w:tcBorders>
              <w:top w:val="single" w:sz="8" w:space="0" w:color="auto"/>
              <w:left w:val="nil"/>
              <w:bottom w:val="nil"/>
              <w:right w:val="nil"/>
            </w:tcBorders>
            <w:shd w:val="clear" w:color="000000" w:fill="FFFFFF"/>
            <w:noWrap/>
            <w:hideMark/>
          </w:tcPr>
          <w:p w14:paraId="398587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Coluzzi</w:t>
            </w:r>
            <w:proofErr w:type="spellEnd"/>
            <w:r w:rsidRPr="00367BEC">
              <w:rPr>
                <w:rFonts w:ascii="Times New Roman" w:hAnsi="Times New Roman"/>
                <w:color w:val="000000"/>
                <w:sz w:val="16"/>
              </w:rPr>
              <w:t xml:space="preserve"> 2015</w:t>
            </w:r>
          </w:p>
        </w:tc>
        <w:tc>
          <w:tcPr>
            <w:tcW w:w="1105" w:type="dxa"/>
            <w:tcBorders>
              <w:top w:val="single" w:sz="8" w:space="0" w:color="auto"/>
              <w:left w:val="nil"/>
              <w:bottom w:val="nil"/>
              <w:right w:val="nil"/>
            </w:tcBorders>
            <w:shd w:val="clear" w:color="000000" w:fill="FFFFFF"/>
            <w:noWrap/>
            <w:hideMark/>
          </w:tcPr>
          <w:p w14:paraId="52A4C5A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single" w:sz="8" w:space="0" w:color="auto"/>
              <w:left w:val="nil"/>
              <w:bottom w:val="nil"/>
              <w:right w:val="nil"/>
            </w:tcBorders>
            <w:shd w:val="clear" w:color="000000" w:fill="FFFFFF"/>
            <w:noWrap/>
            <w:hideMark/>
          </w:tcPr>
          <w:p w14:paraId="163F7D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w:t>
            </w:r>
          </w:p>
        </w:tc>
        <w:tc>
          <w:tcPr>
            <w:tcW w:w="416" w:type="dxa"/>
            <w:tcBorders>
              <w:top w:val="single" w:sz="8" w:space="0" w:color="auto"/>
              <w:left w:val="nil"/>
              <w:bottom w:val="nil"/>
              <w:right w:val="nil"/>
            </w:tcBorders>
            <w:shd w:val="clear" w:color="000000" w:fill="FFFFFF"/>
            <w:noWrap/>
            <w:hideMark/>
          </w:tcPr>
          <w:p w14:paraId="1CB8857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single" w:sz="8" w:space="0" w:color="auto"/>
              <w:left w:val="nil"/>
              <w:bottom w:val="nil"/>
              <w:right w:val="nil"/>
            </w:tcBorders>
            <w:shd w:val="clear" w:color="000000" w:fill="FFFFFF"/>
            <w:noWrap/>
            <w:hideMark/>
          </w:tcPr>
          <w:p w14:paraId="6DE500A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single" w:sz="8" w:space="0" w:color="auto"/>
              <w:left w:val="nil"/>
              <w:bottom w:val="nil"/>
              <w:right w:val="nil"/>
            </w:tcBorders>
            <w:shd w:val="clear" w:color="000000" w:fill="FFFFFF"/>
            <w:noWrap/>
            <w:hideMark/>
          </w:tcPr>
          <w:p w14:paraId="0557832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nil"/>
              <w:right w:val="nil"/>
            </w:tcBorders>
            <w:shd w:val="clear" w:color="000000" w:fill="FFFFFF"/>
            <w:noWrap/>
            <w:hideMark/>
          </w:tcPr>
          <w:p w14:paraId="0950344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404" w:type="dxa"/>
            <w:gridSpan w:val="2"/>
            <w:tcBorders>
              <w:top w:val="single" w:sz="8" w:space="0" w:color="auto"/>
              <w:left w:val="nil"/>
              <w:bottom w:val="nil"/>
              <w:right w:val="nil"/>
            </w:tcBorders>
            <w:shd w:val="clear" w:color="000000" w:fill="FFFFFF"/>
            <w:noWrap/>
            <w:hideMark/>
          </w:tcPr>
          <w:p w14:paraId="64F28D5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Mejora</w:t>
            </w:r>
            <w:r w:rsidRPr="00367BEC">
              <w:rPr>
                <w:rFonts w:ascii="Times New Roman" w:hAnsi="Times New Roman"/>
                <w:b/>
                <w:color w:val="000000"/>
                <w:sz w:val="16"/>
                <w:vertAlign w:val="superscript"/>
              </w:rPr>
              <w:t>ii</w:t>
            </w:r>
            <w:proofErr w:type="spellEnd"/>
          </w:p>
        </w:tc>
        <w:tc>
          <w:tcPr>
            <w:tcW w:w="809" w:type="dxa"/>
            <w:tcBorders>
              <w:top w:val="single" w:sz="8" w:space="0" w:color="auto"/>
              <w:left w:val="nil"/>
              <w:bottom w:val="nil"/>
              <w:right w:val="nil"/>
            </w:tcBorders>
            <w:shd w:val="clear" w:color="000000" w:fill="FFFFFF"/>
            <w:noWrap/>
            <w:hideMark/>
          </w:tcPr>
          <w:p w14:paraId="48242A2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8" w:space="0" w:color="auto"/>
              <w:left w:val="nil"/>
              <w:bottom w:val="nil"/>
              <w:right w:val="nil"/>
            </w:tcBorders>
            <w:shd w:val="clear" w:color="000000" w:fill="FFFFFF"/>
            <w:noWrap/>
            <w:hideMark/>
          </w:tcPr>
          <w:p w14:paraId="2E70F55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8" w:space="0" w:color="auto"/>
              <w:left w:val="nil"/>
              <w:bottom w:val="nil"/>
              <w:right w:val="nil"/>
            </w:tcBorders>
            <w:shd w:val="clear" w:color="000000" w:fill="FFFFFF"/>
            <w:noWrap/>
            <w:hideMark/>
          </w:tcPr>
          <w:p w14:paraId="3E8059F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8" w:space="0" w:color="auto"/>
              <w:left w:val="nil"/>
              <w:bottom w:val="nil"/>
              <w:right w:val="nil"/>
            </w:tcBorders>
            <w:shd w:val="clear" w:color="000000" w:fill="FFFFFF"/>
            <w:noWrap/>
            <w:hideMark/>
          </w:tcPr>
          <w:p w14:paraId="5D08AA1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8" w:space="0" w:color="auto"/>
              <w:left w:val="nil"/>
              <w:bottom w:val="nil"/>
              <w:right w:val="nil"/>
            </w:tcBorders>
            <w:shd w:val="clear" w:color="000000" w:fill="FFFFFF"/>
            <w:noWrap/>
            <w:hideMark/>
          </w:tcPr>
          <w:p w14:paraId="3071AE7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8" w:space="0" w:color="auto"/>
              <w:left w:val="nil"/>
              <w:bottom w:val="nil"/>
              <w:right w:val="nil"/>
            </w:tcBorders>
            <w:shd w:val="clear" w:color="000000" w:fill="FFFFFF"/>
            <w:noWrap/>
            <w:hideMark/>
          </w:tcPr>
          <w:p w14:paraId="143DCB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8" w:space="0" w:color="auto"/>
              <w:left w:val="nil"/>
              <w:bottom w:val="nil"/>
              <w:right w:val="nil"/>
            </w:tcBorders>
            <w:shd w:val="clear" w:color="000000" w:fill="FFFFFF"/>
            <w:noWrap/>
            <w:hideMark/>
          </w:tcPr>
          <w:p w14:paraId="21A5FBD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16EBA45B" w14:textId="77777777" w:rsidTr="00CF1C1E">
        <w:trPr>
          <w:trHeight w:val="20"/>
        </w:trPr>
        <w:tc>
          <w:tcPr>
            <w:tcW w:w="1252" w:type="dxa"/>
            <w:tcBorders>
              <w:top w:val="nil"/>
              <w:left w:val="nil"/>
              <w:bottom w:val="nil"/>
              <w:right w:val="nil"/>
            </w:tcBorders>
            <w:shd w:val="clear" w:color="000000" w:fill="FFFFFF"/>
            <w:noWrap/>
            <w:hideMark/>
          </w:tcPr>
          <w:p w14:paraId="0974D9F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62D9CE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58E4A59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 PCSF</w:t>
            </w:r>
          </w:p>
        </w:tc>
        <w:tc>
          <w:tcPr>
            <w:tcW w:w="416" w:type="dxa"/>
            <w:tcBorders>
              <w:top w:val="nil"/>
              <w:left w:val="nil"/>
              <w:bottom w:val="nil"/>
              <w:right w:val="nil"/>
            </w:tcBorders>
            <w:shd w:val="clear" w:color="000000" w:fill="FFFFFF"/>
            <w:noWrap/>
            <w:hideMark/>
          </w:tcPr>
          <w:p w14:paraId="56B1EBA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nil"/>
              <w:left w:val="nil"/>
              <w:bottom w:val="nil"/>
              <w:right w:val="nil"/>
            </w:tcBorders>
            <w:shd w:val="clear" w:color="000000" w:fill="FFFFFF"/>
            <w:noWrap/>
            <w:hideMark/>
          </w:tcPr>
          <w:p w14:paraId="02AB00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nil"/>
              <w:left w:val="nil"/>
              <w:bottom w:val="nil"/>
              <w:right w:val="nil"/>
            </w:tcBorders>
            <w:shd w:val="clear" w:color="000000" w:fill="FFFFFF"/>
            <w:noWrap/>
            <w:hideMark/>
          </w:tcPr>
          <w:p w14:paraId="753D02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nil"/>
              <w:right w:val="nil"/>
            </w:tcBorders>
            <w:shd w:val="clear" w:color="000000" w:fill="FFFFFF"/>
            <w:noWrap/>
            <w:hideMark/>
          </w:tcPr>
          <w:p w14:paraId="40A480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404" w:type="dxa"/>
            <w:gridSpan w:val="2"/>
            <w:tcBorders>
              <w:top w:val="nil"/>
              <w:left w:val="nil"/>
              <w:bottom w:val="nil"/>
              <w:right w:val="nil"/>
            </w:tcBorders>
            <w:shd w:val="clear" w:color="000000" w:fill="FFFFFF"/>
            <w:noWrap/>
            <w:hideMark/>
          </w:tcPr>
          <w:p w14:paraId="01DEDA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Mejora</w:t>
            </w:r>
            <w:r w:rsidRPr="00367BEC">
              <w:rPr>
                <w:rFonts w:ascii="Times New Roman" w:hAnsi="Times New Roman"/>
                <w:b/>
                <w:color w:val="000000"/>
                <w:sz w:val="16"/>
                <w:vertAlign w:val="superscript"/>
              </w:rPr>
              <w:t>ii</w:t>
            </w:r>
            <w:proofErr w:type="spellEnd"/>
          </w:p>
        </w:tc>
        <w:tc>
          <w:tcPr>
            <w:tcW w:w="809" w:type="dxa"/>
            <w:tcBorders>
              <w:top w:val="nil"/>
              <w:left w:val="nil"/>
              <w:bottom w:val="nil"/>
              <w:right w:val="nil"/>
            </w:tcBorders>
            <w:shd w:val="clear" w:color="000000" w:fill="FFFFFF"/>
            <w:noWrap/>
            <w:hideMark/>
          </w:tcPr>
          <w:p w14:paraId="5D6B1D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714A9AC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56203F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2E22741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7ACC32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06AA0B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4476A6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2A5B35CA" w14:textId="77777777" w:rsidTr="00CF1C1E">
        <w:trPr>
          <w:trHeight w:val="20"/>
        </w:trPr>
        <w:tc>
          <w:tcPr>
            <w:tcW w:w="1252" w:type="dxa"/>
            <w:tcBorders>
              <w:top w:val="nil"/>
              <w:left w:val="nil"/>
              <w:bottom w:val="nil"/>
              <w:right w:val="nil"/>
            </w:tcBorders>
            <w:shd w:val="clear" w:color="000000" w:fill="FFFFFF"/>
            <w:noWrap/>
            <w:hideMark/>
          </w:tcPr>
          <w:p w14:paraId="690D028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332632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5B5B347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SF-36 PCSM</w:t>
            </w:r>
          </w:p>
        </w:tc>
        <w:tc>
          <w:tcPr>
            <w:tcW w:w="416" w:type="dxa"/>
            <w:tcBorders>
              <w:top w:val="nil"/>
              <w:left w:val="nil"/>
              <w:bottom w:val="nil"/>
              <w:right w:val="nil"/>
            </w:tcBorders>
            <w:shd w:val="clear" w:color="000000" w:fill="FFFFFF"/>
            <w:noWrap/>
            <w:hideMark/>
          </w:tcPr>
          <w:p w14:paraId="54F8192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nil"/>
              <w:left w:val="nil"/>
              <w:bottom w:val="nil"/>
              <w:right w:val="nil"/>
            </w:tcBorders>
            <w:shd w:val="clear" w:color="000000" w:fill="FFFFFF"/>
            <w:noWrap/>
            <w:hideMark/>
          </w:tcPr>
          <w:p w14:paraId="4CEA1DA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nil"/>
              <w:left w:val="nil"/>
              <w:bottom w:val="nil"/>
              <w:right w:val="nil"/>
            </w:tcBorders>
            <w:shd w:val="clear" w:color="000000" w:fill="FFFFFF"/>
            <w:noWrap/>
            <w:hideMark/>
          </w:tcPr>
          <w:p w14:paraId="4C7F53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nil"/>
              <w:right w:val="nil"/>
            </w:tcBorders>
            <w:shd w:val="clear" w:color="000000" w:fill="FFFFFF"/>
            <w:noWrap/>
            <w:hideMark/>
          </w:tcPr>
          <w:p w14:paraId="4BC271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404" w:type="dxa"/>
            <w:gridSpan w:val="2"/>
            <w:tcBorders>
              <w:top w:val="nil"/>
              <w:left w:val="nil"/>
              <w:bottom w:val="single" w:sz="8" w:space="0" w:color="auto"/>
              <w:right w:val="nil"/>
            </w:tcBorders>
            <w:shd w:val="clear" w:color="000000" w:fill="FFFFFF"/>
            <w:noWrap/>
            <w:hideMark/>
          </w:tcPr>
          <w:p w14:paraId="7D77D90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Mejora</w:t>
            </w:r>
            <w:r w:rsidRPr="00367BEC">
              <w:rPr>
                <w:rFonts w:ascii="Times New Roman" w:hAnsi="Times New Roman"/>
                <w:b/>
                <w:color w:val="000000"/>
                <w:sz w:val="16"/>
                <w:vertAlign w:val="superscript"/>
              </w:rPr>
              <w:t>ii</w:t>
            </w:r>
            <w:proofErr w:type="spellEnd"/>
          </w:p>
        </w:tc>
        <w:tc>
          <w:tcPr>
            <w:tcW w:w="809" w:type="dxa"/>
            <w:tcBorders>
              <w:top w:val="nil"/>
              <w:left w:val="nil"/>
              <w:bottom w:val="nil"/>
              <w:right w:val="nil"/>
            </w:tcBorders>
            <w:shd w:val="clear" w:color="000000" w:fill="FFFFFF"/>
            <w:noWrap/>
            <w:hideMark/>
          </w:tcPr>
          <w:p w14:paraId="79CE1BE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7310C9C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6619A9F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0199438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6FBFE4E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2FBE97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3DCE31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0298B8B" w14:textId="77777777" w:rsidTr="00CF1C1E">
        <w:trPr>
          <w:trHeight w:val="20"/>
        </w:trPr>
        <w:tc>
          <w:tcPr>
            <w:tcW w:w="1252" w:type="dxa"/>
            <w:tcBorders>
              <w:top w:val="single" w:sz="8" w:space="0" w:color="auto"/>
              <w:left w:val="nil"/>
              <w:bottom w:val="single" w:sz="8" w:space="0" w:color="auto"/>
              <w:right w:val="nil"/>
            </w:tcBorders>
            <w:shd w:val="clear" w:color="000000" w:fill="FFFFFF"/>
            <w:noWrap/>
            <w:hideMark/>
          </w:tcPr>
          <w:p w14:paraId="082B45B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Schwenke</w:t>
            </w:r>
            <w:proofErr w:type="spellEnd"/>
            <w:r w:rsidRPr="00367BEC">
              <w:rPr>
                <w:rFonts w:ascii="Times New Roman" w:hAnsi="Times New Roman"/>
                <w:color w:val="000000"/>
                <w:sz w:val="16"/>
              </w:rPr>
              <w:t xml:space="preserve"> 2015</w:t>
            </w:r>
          </w:p>
        </w:tc>
        <w:tc>
          <w:tcPr>
            <w:tcW w:w="1105" w:type="dxa"/>
            <w:tcBorders>
              <w:top w:val="single" w:sz="8" w:space="0" w:color="auto"/>
              <w:left w:val="nil"/>
              <w:bottom w:val="single" w:sz="8" w:space="0" w:color="auto"/>
              <w:right w:val="nil"/>
            </w:tcBorders>
            <w:shd w:val="clear" w:color="000000" w:fill="FFFFFF"/>
            <w:noWrap/>
            <w:hideMark/>
          </w:tcPr>
          <w:p w14:paraId="7F1DAA2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single" w:sz="8" w:space="0" w:color="auto"/>
              <w:left w:val="nil"/>
              <w:bottom w:val="single" w:sz="8" w:space="0" w:color="auto"/>
              <w:right w:val="nil"/>
            </w:tcBorders>
            <w:shd w:val="clear" w:color="000000" w:fill="FFFFFF"/>
            <w:noWrap/>
            <w:hideMark/>
          </w:tcPr>
          <w:p w14:paraId="3015C1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CdV</w:t>
            </w:r>
            <w:proofErr w:type="spellEnd"/>
            <w:r w:rsidRPr="00367BEC">
              <w:rPr>
                <w:rFonts w:ascii="Times New Roman" w:hAnsi="Times New Roman"/>
                <w:color w:val="000000"/>
                <w:sz w:val="16"/>
              </w:rPr>
              <w:t xml:space="preserve"> EVN-11-4sem</w:t>
            </w:r>
          </w:p>
        </w:tc>
        <w:tc>
          <w:tcPr>
            <w:tcW w:w="416" w:type="dxa"/>
            <w:tcBorders>
              <w:top w:val="single" w:sz="8" w:space="0" w:color="auto"/>
              <w:left w:val="nil"/>
              <w:bottom w:val="single" w:sz="8" w:space="0" w:color="auto"/>
              <w:right w:val="nil"/>
            </w:tcBorders>
            <w:shd w:val="clear" w:color="000000" w:fill="FFFFFF"/>
            <w:noWrap/>
            <w:hideMark/>
          </w:tcPr>
          <w:p w14:paraId="4DA6BD0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7,2</w:t>
            </w:r>
          </w:p>
        </w:tc>
        <w:tc>
          <w:tcPr>
            <w:tcW w:w="757" w:type="dxa"/>
            <w:tcBorders>
              <w:top w:val="single" w:sz="8" w:space="0" w:color="auto"/>
              <w:left w:val="nil"/>
              <w:bottom w:val="single" w:sz="8" w:space="0" w:color="auto"/>
              <w:right w:val="nil"/>
            </w:tcBorders>
            <w:shd w:val="clear" w:color="000000" w:fill="FFFFFF"/>
            <w:noWrap/>
            <w:hideMark/>
          </w:tcPr>
          <w:p w14:paraId="10ADDB7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single" w:sz="8" w:space="0" w:color="auto"/>
              <w:left w:val="nil"/>
              <w:bottom w:val="single" w:sz="8" w:space="0" w:color="auto"/>
              <w:right w:val="nil"/>
            </w:tcBorders>
            <w:shd w:val="clear" w:color="000000" w:fill="FFFFFF"/>
            <w:noWrap/>
            <w:hideMark/>
          </w:tcPr>
          <w:p w14:paraId="78C9CAC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3,8</w:t>
            </w:r>
          </w:p>
        </w:tc>
        <w:tc>
          <w:tcPr>
            <w:tcW w:w="523" w:type="dxa"/>
            <w:tcBorders>
              <w:top w:val="single" w:sz="8" w:space="0" w:color="auto"/>
              <w:left w:val="nil"/>
              <w:bottom w:val="single" w:sz="8" w:space="0" w:color="auto"/>
              <w:right w:val="nil"/>
            </w:tcBorders>
            <w:shd w:val="clear" w:color="000000" w:fill="FFFFFF"/>
            <w:noWrap/>
            <w:hideMark/>
          </w:tcPr>
          <w:p w14:paraId="7075575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(2,2)</w:t>
            </w:r>
          </w:p>
        </w:tc>
        <w:tc>
          <w:tcPr>
            <w:tcW w:w="1339" w:type="dxa"/>
            <w:tcBorders>
              <w:top w:val="nil"/>
              <w:left w:val="nil"/>
              <w:bottom w:val="single" w:sz="8" w:space="0" w:color="auto"/>
              <w:right w:val="nil"/>
            </w:tcBorders>
            <w:shd w:val="clear" w:color="000000" w:fill="FFFFFF"/>
            <w:noWrap/>
            <w:hideMark/>
          </w:tcPr>
          <w:p w14:paraId="60A461A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−3,4</w:t>
            </w:r>
          </w:p>
        </w:tc>
        <w:tc>
          <w:tcPr>
            <w:tcW w:w="1065" w:type="dxa"/>
            <w:tcBorders>
              <w:top w:val="nil"/>
              <w:left w:val="nil"/>
              <w:bottom w:val="single" w:sz="8" w:space="0" w:color="auto"/>
              <w:right w:val="nil"/>
            </w:tcBorders>
            <w:shd w:val="clear" w:color="000000" w:fill="FFFFFF"/>
            <w:noWrap/>
            <w:hideMark/>
          </w:tcPr>
          <w:p w14:paraId="1D43DED3"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−47,2</w:t>
            </w:r>
            <w:r w:rsidRPr="00367BEC">
              <w:rPr>
                <w:rFonts w:ascii="Times New Roman" w:hAnsi="Times New Roman"/>
                <w:b/>
                <w:color w:val="000000"/>
                <w:sz w:val="16"/>
                <w:vertAlign w:val="superscript"/>
              </w:rPr>
              <w:t>iii</w:t>
            </w:r>
          </w:p>
        </w:tc>
        <w:tc>
          <w:tcPr>
            <w:tcW w:w="809" w:type="dxa"/>
            <w:tcBorders>
              <w:top w:val="single" w:sz="8" w:space="0" w:color="auto"/>
              <w:left w:val="nil"/>
              <w:bottom w:val="single" w:sz="8" w:space="0" w:color="auto"/>
              <w:right w:val="nil"/>
            </w:tcBorders>
            <w:shd w:val="clear" w:color="000000" w:fill="FFFFFF"/>
            <w:noWrap/>
            <w:hideMark/>
          </w:tcPr>
          <w:p w14:paraId="4FC8083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single" w:sz="8" w:space="0" w:color="auto"/>
              <w:left w:val="nil"/>
              <w:bottom w:val="single" w:sz="8" w:space="0" w:color="auto"/>
              <w:right w:val="nil"/>
            </w:tcBorders>
            <w:shd w:val="clear" w:color="000000" w:fill="FFFFFF"/>
            <w:noWrap/>
            <w:hideMark/>
          </w:tcPr>
          <w:p w14:paraId="47F0DFD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single" w:sz="8" w:space="0" w:color="auto"/>
              <w:left w:val="nil"/>
              <w:bottom w:val="single" w:sz="8" w:space="0" w:color="auto"/>
              <w:right w:val="nil"/>
            </w:tcBorders>
            <w:shd w:val="clear" w:color="000000" w:fill="FFFFFF"/>
            <w:noWrap/>
            <w:hideMark/>
          </w:tcPr>
          <w:p w14:paraId="7EC8AA4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single" w:sz="8" w:space="0" w:color="auto"/>
              <w:left w:val="nil"/>
              <w:bottom w:val="single" w:sz="8" w:space="0" w:color="auto"/>
              <w:right w:val="nil"/>
            </w:tcBorders>
            <w:shd w:val="clear" w:color="000000" w:fill="FFFFFF"/>
            <w:noWrap/>
            <w:hideMark/>
          </w:tcPr>
          <w:p w14:paraId="733937D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single" w:sz="8" w:space="0" w:color="auto"/>
              <w:left w:val="nil"/>
              <w:bottom w:val="single" w:sz="8" w:space="0" w:color="auto"/>
              <w:right w:val="nil"/>
            </w:tcBorders>
            <w:shd w:val="clear" w:color="000000" w:fill="FFFFFF"/>
            <w:noWrap/>
            <w:hideMark/>
          </w:tcPr>
          <w:p w14:paraId="7520090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single" w:sz="8" w:space="0" w:color="auto"/>
              <w:left w:val="nil"/>
              <w:bottom w:val="single" w:sz="8" w:space="0" w:color="auto"/>
              <w:right w:val="nil"/>
            </w:tcBorders>
            <w:shd w:val="clear" w:color="000000" w:fill="FFFFFF"/>
            <w:noWrap/>
            <w:hideMark/>
          </w:tcPr>
          <w:p w14:paraId="6907F86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single" w:sz="8" w:space="0" w:color="auto"/>
              <w:left w:val="nil"/>
              <w:bottom w:val="single" w:sz="8" w:space="0" w:color="auto"/>
              <w:right w:val="nil"/>
            </w:tcBorders>
            <w:shd w:val="clear" w:color="000000" w:fill="FFFFFF"/>
            <w:noWrap/>
            <w:hideMark/>
          </w:tcPr>
          <w:p w14:paraId="71D0BE8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1C2D0DA2" w14:textId="77777777" w:rsidTr="00CF1C1E">
        <w:trPr>
          <w:trHeight w:val="20"/>
        </w:trPr>
        <w:tc>
          <w:tcPr>
            <w:tcW w:w="1252" w:type="dxa"/>
            <w:tcBorders>
              <w:top w:val="nil"/>
              <w:left w:val="nil"/>
              <w:bottom w:val="nil"/>
              <w:right w:val="nil"/>
            </w:tcBorders>
            <w:shd w:val="clear" w:color="000000" w:fill="FFFFFF"/>
            <w:noWrap/>
            <w:hideMark/>
          </w:tcPr>
          <w:p w14:paraId="04DB395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Schikowski</w:t>
            </w:r>
            <w:proofErr w:type="spellEnd"/>
            <w:r w:rsidRPr="00367BEC">
              <w:rPr>
                <w:rFonts w:ascii="Times New Roman" w:hAnsi="Times New Roman"/>
                <w:color w:val="000000"/>
                <w:sz w:val="16"/>
              </w:rPr>
              <w:t xml:space="preserve"> 2015</w:t>
            </w:r>
          </w:p>
        </w:tc>
        <w:tc>
          <w:tcPr>
            <w:tcW w:w="1105" w:type="dxa"/>
            <w:tcBorders>
              <w:top w:val="nil"/>
              <w:left w:val="nil"/>
              <w:bottom w:val="nil"/>
              <w:right w:val="nil"/>
            </w:tcBorders>
            <w:shd w:val="clear" w:color="000000" w:fill="FFFFFF"/>
            <w:noWrap/>
            <w:hideMark/>
          </w:tcPr>
          <w:p w14:paraId="6932F94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 PR</w:t>
            </w:r>
          </w:p>
        </w:tc>
        <w:tc>
          <w:tcPr>
            <w:tcW w:w="1563" w:type="dxa"/>
            <w:tcBorders>
              <w:top w:val="nil"/>
              <w:left w:val="nil"/>
              <w:bottom w:val="nil"/>
              <w:right w:val="nil"/>
            </w:tcBorders>
            <w:shd w:val="clear" w:color="000000" w:fill="FFFFFF"/>
            <w:noWrap/>
            <w:hideMark/>
          </w:tcPr>
          <w:p w14:paraId="6392B1C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EQ-5D-3L</w:t>
            </w:r>
          </w:p>
        </w:tc>
        <w:tc>
          <w:tcPr>
            <w:tcW w:w="416" w:type="dxa"/>
            <w:tcBorders>
              <w:top w:val="nil"/>
              <w:left w:val="nil"/>
              <w:bottom w:val="nil"/>
              <w:right w:val="nil"/>
            </w:tcBorders>
            <w:shd w:val="clear" w:color="000000" w:fill="FFFFFF"/>
            <w:noWrap/>
            <w:hideMark/>
          </w:tcPr>
          <w:p w14:paraId="0DBAD89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57" w:type="dxa"/>
            <w:tcBorders>
              <w:top w:val="nil"/>
              <w:left w:val="nil"/>
              <w:bottom w:val="nil"/>
              <w:right w:val="nil"/>
            </w:tcBorders>
            <w:shd w:val="clear" w:color="000000" w:fill="FFFFFF"/>
            <w:noWrap/>
            <w:hideMark/>
          </w:tcPr>
          <w:p w14:paraId="5414D72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16" w:type="dxa"/>
            <w:tcBorders>
              <w:top w:val="nil"/>
              <w:left w:val="nil"/>
              <w:bottom w:val="nil"/>
              <w:right w:val="nil"/>
            </w:tcBorders>
            <w:shd w:val="clear" w:color="000000" w:fill="FFFFFF"/>
            <w:noWrap/>
            <w:hideMark/>
          </w:tcPr>
          <w:p w14:paraId="3E8EBE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23" w:type="dxa"/>
            <w:tcBorders>
              <w:top w:val="nil"/>
              <w:left w:val="nil"/>
              <w:bottom w:val="nil"/>
              <w:right w:val="nil"/>
            </w:tcBorders>
            <w:shd w:val="clear" w:color="000000" w:fill="FFFFFF"/>
            <w:noWrap/>
            <w:hideMark/>
          </w:tcPr>
          <w:p w14:paraId="051CB14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2404" w:type="dxa"/>
            <w:gridSpan w:val="2"/>
            <w:tcBorders>
              <w:top w:val="single" w:sz="8" w:space="0" w:color="auto"/>
              <w:left w:val="nil"/>
              <w:bottom w:val="nil"/>
              <w:right w:val="nil"/>
            </w:tcBorders>
            <w:shd w:val="clear" w:color="000000" w:fill="FFFFFF"/>
            <w:noWrap/>
            <w:hideMark/>
          </w:tcPr>
          <w:p w14:paraId="38C9435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proofErr w:type="spellStart"/>
            <w:r w:rsidRPr="00367BEC">
              <w:rPr>
                <w:rFonts w:ascii="Times New Roman" w:hAnsi="Times New Roman"/>
                <w:color w:val="000000"/>
                <w:sz w:val="16"/>
              </w:rPr>
              <w:t>Mejora</w:t>
            </w:r>
            <w:r w:rsidRPr="00367BEC">
              <w:rPr>
                <w:rFonts w:ascii="Times New Roman" w:hAnsi="Times New Roman"/>
                <w:b/>
                <w:color w:val="000000"/>
                <w:sz w:val="16"/>
                <w:vertAlign w:val="superscript"/>
              </w:rPr>
              <w:t>iii</w:t>
            </w:r>
            <w:proofErr w:type="spellEnd"/>
          </w:p>
        </w:tc>
        <w:tc>
          <w:tcPr>
            <w:tcW w:w="809" w:type="dxa"/>
            <w:tcBorders>
              <w:top w:val="nil"/>
              <w:left w:val="nil"/>
              <w:bottom w:val="nil"/>
              <w:right w:val="nil"/>
            </w:tcBorders>
            <w:shd w:val="clear" w:color="000000" w:fill="FFFFFF"/>
            <w:noWrap/>
            <w:hideMark/>
          </w:tcPr>
          <w:p w14:paraId="1C28241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4AFD398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6F94F29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402A8E8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3BAB840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3DF4BAF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70B6497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3DE4FD6" w14:textId="77777777" w:rsidTr="00CF1C1E">
        <w:trPr>
          <w:trHeight w:val="20"/>
        </w:trPr>
        <w:tc>
          <w:tcPr>
            <w:tcW w:w="1252" w:type="dxa"/>
            <w:tcBorders>
              <w:top w:val="nil"/>
              <w:left w:val="nil"/>
              <w:bottom w:val="nil"/>
              <w:right w:val="nil"/>
            </w:tcBorders>
            <w:shd w:val="clear" w:color="000000" w:fill="FFFFFF"/>
            <w:noWrap/>
            <w:hideMark/>
          </w:tcPr>
          <w:p w14:paraId="0770CAB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0D1D46D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37336BB7" w14:textId="1C27D584"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EQ EVA</w:t>
            </w:r>
            <w:r w:rsidR="00785673">
              <w:rPr>
                <w:rFonts w:ascii="Times New Roman" w:hAnsi="Times New Roman"/>
                <w:color w:val="000000"/>
                <w:sz w:val="16"/>
              </w:rPr>
              <w:t>-100</w:t>
            </w:r>
          </w:p>
        </w:tc>
        <w:tc>
          <w:tcPr>
            <w:tcW w:w="416" w:type="dxa"/>
            <w:tcBorders>
              <w:top w:val="nil"/>
              <w:left w:val="nil"/>
              <w:bottom w:val="nil"/>
              <w:right w:val="nil"/>
            </w:tcBorders>
            <w:shd w:val="clear" w:color="000000" w:fill="FFFFFF"/>
            <w:noWrap/>
            <w:hideMark/>
          </w:tcPr>
          <w:p w14:paraId="4AB81B8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63,5</w:t>
            </w:r>
          </w:p>
        </w:tc>
        <w:tc>
          <w:tcPr>
            <w:tcW w:w="757" w:type="dxa"/>
            <w:tcBorders>
              <w:top w:val="nil"/>
              <w:left w:val="nil"/>
              <w:bottom w:val="nil"/>
              <w:right w:val="nil"/>
            </w:tcBorders>
            <w:shd w:val="clear" w:color="000000" w:fill="FFFFFF"/>
            <w:noWrap/>
            <w:hideMark/>
          </w:tcPr>
          <w:p w14:paraId="1403FD6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(14,9)</w:t>
            </w:r>
          </w:p>
        </w:tc>
        <w:tc>
          <w:tcPr>
            <w:tcW w:w="416" w:type="dxa"/>
            <w:tcBorders>
              <w:top w:val="nil"/>
              <w:left w:val="nil"/>
              <w:bottom w:val="nil"/>
              <w:right w:val="nil"/>
            </w:tcBorders>
            <w:shd w:val="clear" w:color="000000" w:fill="FFFFFF"/>
            <w:noWrap/>
            <w:hideMark/>
          </w:tcPr>
          <w:p w14:paraId="781D349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45,9</w:t>
            </w:r>
          </w:p>
        </w:tc>
        <w:tc>
          <w:tcPr>
            <w:tcW w:w="523" w:type="dxa"/>
            <w:tcBorders>
              <w:top w:val="nil"/>
              <w:left w:val="nil"/>
              <w:bottom w:val="nil"/>
              <w:right w:val="nil"/>
            </w:tcBorders>
            <w:shd w:val="clear" w:color="000000" w:fill="FFFFFF"/>
            <w:noWrap/>
            <w:hideMark/>
          </w:tcPr>
          <w:p w14:paraId="1376FBA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(23,9)</w:t>
            </w:r>
          </w:p>
        </w:tc>
        <w:tc>
          <w:tcPr>
            <w:tcW w:w="1339" w:type="dxa"/>
            <w:tcBorders>
              <w:top w:val="nil"/>
              <w:left w:val="nil"/>
              <w:bottom w:val="nil"/>
              <w:right w:val="nil"/>
            </w:tcBorders>
            <w:shd w:val="clear" w:color="000000" w:fill="FFFFFF"/>
            <w:noWrap/>
            <w:hideMark/>
          </w:tcPr>
          <w:p w14:paraId="56A08F6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−17,6</w:t>
            </w:r>
          </w:p>
        </w:tc>
        <w:tc>
          <w:tcPr>
            <w:tcW w:w="1065" w:type="dxa"/>
            <w:tcBorders>
              <w:top w:val="nil"/>
              <w:left w:val="nil"/>
              <w:bottom w:val="nil"/>
              <w:right w:val="nil"/>
            </w:tcBorders>
            <w:shd w:val="clear" w:color="000000" w:fill="FFFFFF"/>
            <w:noWrap/>
            <w:hideMark/>
          </w:tcPr>
          <w:p w14:paraId="68A95D0B"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-27,7</w:t>
            </w:r>
            <w:r w:rsidRPr="00367BEC">
              <w:rPr>
                <w:rFonts w:ascii="Times New Roman" w:hAnsi="Times New Roman"/>
                <w:b/>
                <w:color w:val="000000"/>
                <w:sz w:val="16"/>
                <w:vertAlign w:val="superscript"/>
              </w:rPr>
              <w:t>iii</w:t>
            </w:r>
          </w:p>
        </w:tc>
        <w:tc>
          <w:tcPr>
            <w:tcW w:w="809" w:type="dxa"/>
            <w:tcBorders>
              <w:top w:val="nil"/>
              <w:left w:val="nil"/>
              <w:bottom w:val="nil"/>
              <w:right w:val="nil"/>
            </w:tcBorders>
            <w:shd w:val="clear" w:color="000000" w:fill="FFFFFF"/>
            <w:noWrap/>
            <w:hideMark/>
          </w:tcPr>
          <w:p w14:paraId="446362E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33D65E6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41F0ACD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4923DE5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0015A3D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593A7E9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34163AE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687F1974" w14:textId="77777777" w:rsidTr="00CF1C1E">
        <w:trPr>
          <w:trHeight w:val="20"/>
        </w:trPr>
        <w:tc>
          <w:tcPr>
            <w:tcW w:w="1252" w:type="dxa"/>
            <w:tcBorders>
              <w:top w:val="nil"/>
              <w:left w:val="nil"/>
              <w:bottom w:val="nil"/>
              <w:right w:val="nil"/>
            </w:tcBorders>
            <w:shd w:val="clear" w:color="000000" w:fill="FFFFFF"/>
            <w:noWrap/>
            <w:hideMark/>
          </w:tcPr>
          <w:p w14:paraId="12A9AD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126332B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029D4FA8" w14:textId="4F8542B9"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QLIP (sum</w:t>
            </w:r>
            <w:r w:rsidR="00111044">
              <w:rPr>
                <w:rFonts w:ascii="Times New Roman" w:hAnsi="Times New Roman"/>
                <w:color w:val="000000"/>
                <w:sz w:val="16"/>
              </w:rPr>
              <w:t>atorio</w:t>
            </w:r>
            <w:r w:rsidRPr="00367BEC">
              <w:rPr>
                <w:rFonts w:ascii="Times New Roman" w:hAnsi="Times New Roman"/>
                <w:color w:val="000000"/>
                <w:sz w:val="16"/>
              </w:rPr>
              <w:t>)</w:t>
            </w:r>
          </w:p>
        </w:tc>
        <w:tc>
          <w:tcPr>
            <w:tcW w:w="416" w:type="dxa"/>
            <w:tcBorders>
              <w:top w:val="nil"/>
              <w:left w:val="nil"/>
              <w:bottom w:val="nil"/>
              <w:right w:val="nil"/>
            </w:tcBorders>
            <w:shd w:val="clear" w:color="000000" w:fill="FFFFFF"/>
            <w:noWrap/>
            <w:hideMark/>
          </w:tcPr>
          <w:p w14:paraId="680583D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11,6</w:t>
            </w:r>
          </w:p>
        </w:tc>
        <w:tc>
          <w:tcPr>
            <w:tcW w:w="757" w:type="dxa"/>
            <w:tcBorders>
              <w:top w:val="nil"/>
              <w:left w:val="nil"/>
              <w:bottom w:val="nil"/>
              <w:right w:val="nil"/>
            </w:tcBorders>
            <w:shd w:val="clear" w:color="000000" w:fill="FFFFFF"/>
            <w:noWrap/>
            <w:hideMark/>
          </w:tcPr>
          <w:p w14:paraId="369FEE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(7,3)</w:t>
            </w:r>
          </w:p>
        </w:tc>
        <w:tc>
          <w:tcPr>
            <w:tcW w:w="416" w:type="dxa"/>
            <w:tcBorders>
              <w:top w:val="nil"/>
              <w:left w:val="nil"/>
              <w:bottom w:val="nil"/>
              <w:right w:val="nil"/>
            </w:tcBorders>
            <w:shd w:val="clear" w:color="000000" w:fill="FFFFFF"/>
            <w:noWrap/>
            <w:hideMark/>
          </w:tcPr>
          <w:p w14:paraId="309DFBC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15,7</w:t>
            </w:r>
          </w:p>
        </w:tc>
        <w:tc>
          <w:tcPr>
            <w:tcW w:w="523" w:type="dxa"/>
            <w:tcBorders>
              <w:top w:val="nil"/>
              <w:left w:val="nil"/>
              <w:bottom w:val="nil"/>
              <w:right w:val="nil"/>
            </w:tcBorders>
            <w:shd w:val="clear" w:color="000000" w:fill="FFFFFF"/>
            <w:noWrap/>
            <w:hideMark/>
          </w:tcPr>
          <w:p w14:paraId="37D1AB0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(9,1)</w:t>
            </w:r>
          </w:p>
        </w:tc>
        <w:tc>
          <w:tcPr>
            <w:tcW w:w="1339" w:type="dxa"/>
            <w:tcBorders>
              <w:top w:val="nil"/>
              <w:left w:val="nil"/>
              <w:bottom w:val="nil"/>
              <w:right w:val="nil"/>
            </w:tcBorders>
            <w:shd w:val="clear" w:color="000000" w:fill="FFFFFF"/>
            <w:noWrap/>
            <w:hideMark/>
          </w:tcPr>
          <w:p w14:paraId="019C3226"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4,1</w:t>
            </w:r>
          </w:p>
        </w:tc>
        <w:tc>
          <w:tcPr>
            <w:tcW w:w="1065" w:type="dxa"/>
            <w:tcBorders>
              <w:top w:val="nil"/>
              <w:left w:val="nil"/>
              <w:bottom w:val="nil"/>
              <w:right w:val="nil"/>
            </w:tcBorders>
            <w:shd w:val="clear" w:color="000000" w:fill="FFFFFF"/>
            <w:noWrap/>
            <w:hideMark/>
          </w:tcPr>
          <w:p w14:paraId="603C8B28"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35,3</w:t>
            </w:r>
          </w:p>
        </w:tc>
        <w:tc>
          <w:tcPr>
            <w:tcW w:w="809" w:type="dxa"/>
            <w:tcBorders>
              <w:top w:val="nil"/>
              <w:left w:val="nil"/>
              <w:bottom w:val="nil"/>
              <w:right w:val="nil"/>
            </w:tcBorders>
            <w:shd w:val="clear" w:color="000000" w:fill="FFFFFF"/>
            <w:noWrap/>
            <w:hideMark/>
          </w:tcPr>
          <w:p w14:paraId="0DB375F2" w14:textId="77777777" w:rsidR="002E4D99" w:rsidRPr="00367BEC" w:rsidRDefault="002E4D99" w:rsidP="00CF1C1E">
            <w:pPr>
              <w:spacing w:after="0" w:line="240" w:lineRule="auto"/>
              <w:rPr>
                <w:rFonts w:ascii="Calibri" w:eastAsia="Times New Roman" w:hAnsi="Calibri" w:cs="Calibri"/>
                <w:color w:val="000000"/>
                <w:sz w:val="16"/>
                <w:szCs w:val="16"/>
              </w:rPr>
            </w:pPr>
            <w:r w:rsidRPr="00367BEC">
              <w:rPr>
                <w:rFonts w:ascii="Calibri" w:hAnsi="Calibri"/>
                <w:color w:val="000000"/>
                <w:sz w:val="16"/>
              </w:rPr>
              <w:t>≤20 (%)</w:t>
            </w:r>
          </w:p>
        </w:tc>
        <w:tc>
          <w:tcPr>
            <w:tcW w:w="349" w:type="dxa"/>
            <w:tcBorders>
              <w:top w:val="nil"/>
              <w:left w:val="nil"/>
              <w:bottom w:val="nil"/>
              <w:right w:val="nil"/>
            </w:tcBorders>
            <w:shd w:val="clear" w:color="000000" w:fill="FFFFFF"/>
            <w:noWrap/>
            <w:hideMark/>
          </w:tcPr>
          <w:p w14:paraId="38C07FE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75,3</w:t>
            </w:r>
          </w:p>
        </w:tc>
        <w:tc>
          <w:tcPr>
            <w:tcW w:w="877" w:type="dxa"/>
            <w:gridSpan w:val="2"/>
            <w:tcBorders>
              <w:top w:val="nil"/>
              <w:left w:val="nil"/>
              <w:bottom w:val="nil"/>
              <w:right w:val="nil"/>
            </w:tcBorders>
            <w:shd w:val="clear" w:color="000000" w:fill="FFFFFF"/>
            <w:noWrap/>
            <w:hideMark/>
          </w:tcPr>
          <w:p w14:paraId="4BF6D91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93</w:t>
            </w:r>
            <w:r w:rsidRPr="00367BEC">
              <w:rPr>
                <w:rFonts w:ascii="Times New Roman" w:hAnsi="Times New Roman"/>
                <w:color w:val="000000"/>
                <w:sz w:val="16"/>
              </w:rPr>
              <w:t>/123)</w:t>
            </w:r>
          </w:p>
        </w:tc>
        <w:tc>
          <w:tcPr>
            <w:tcW w:w="380" w:type="dxa"/>
            <w:gridSpan w:val="2"/>
            <w:tcBorders>
              <w:top w:val="nil"/>
              <w:left w:val="nil"/>
              <w:bottom w:val="nil"/>
              <w:right w:val="nil"/>
            </w:tcBorders>
            <w:shd w:val="clear" w:color="000000" w:fill="FFFFFF"/>
            <w:noWrap/>
            <w:hideMark/>
          </w:tcPr>
          <w:p w14:paraId="57F24474"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61,0</w:t>
            </w:r>
          </w:p>
        </w:tc>
        <w:tc>
          <w:tcPr>
            <w:tcW w:w="769" w:type="dxa"/>
            <w:gridSpan w:val="2"/>
            <w:tcBorders>
              <w:top w:val="nil"/>
              <w:left w:val="nil"/>
              <w:bottom w:val="nil"/>
              <w:right w:val="nil"/>
            </w:tcBorders>
            <w:shd w:val="clear" w:color="000000" w:fill="FFFFFF"/>
            <w:noWrap/>
            <w:hideMark/>
          </w:tcPr>
          <w:p w14:paraId="043909D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w:t>
            </w:r>
            <w:r w:rsidRPr="00367BEC">
              <w:rPr>
                <w:rFonts w:ascii="Times New Roman" w:hAnsi="Times New Roman"/>
                <w:i/>
                <w:color w:val="000000"/>
                <w:sz w:val="16"/>
              </w:rPr>
              <w:t>75</w:t>
            </w:r>
            <w:r w:rsidRPr="00367BEC">
              <w:rPr>
                <w:rFonts w:ascii="Times New Roman" w:hAnsi="Times New Roman"/>
                <w:color w:val="000000"/>
                <w:sz w:val="16"/>
              </w:rPr>
              <w:t>/123)</w:t>
            </w:r>
          </w:p>
        </w:tc>
        <w:tc>
          <w:tcPr>
            <w:tcW w:w="881" w:type="dxa"/>
            <w:tcBorders>
              <w:top w:val="nil"/>
              <w:left w:val="nil"/>
              <w:bottom w:val="nil"/>
              <w:right w:val="nil"/>
            </w:tcBorders>
            <w:shd w:val="clear" w:color="000000" w:fill="FFFFFF"/>
            <w:noWrap/>
            <w:hideMark/>
          </w:tcPr>
          <w:p w14:paraId="1B3AF53E"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−14,3</w:t>
            </w:r>
          </w:p>
        </w:tc>
        <w:tc>
          <w:tcPr>
            <w:tcW w:w="1143" w:type="dxa"/>
            <w:tcBorders>
              <w:top w:val="nil"/>
              <w:left w:val="nil"/>
              <w:bottom w:val="nil"/>
              <w:right w:val="nil"/>
            </w:tcBorders>
            <w:shd w:val="clear" w:color="000000" w:fill="FFFFFF"/>
            <w:noWrap/>
            <w:hideMark/>
          </w:tcPr>
          <w:p w14:paraId="3FDEFC3A"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−19,0</w:t>
            </w:r>
          </w:p>
        </w:tc>
      </w:tr>
      <w:tr w:rsidR="002E4D99" w:rsidRPr="00367BEC" w14:paraId="0529F2D9" w14:textId="77777777" w:rsidTr="00CF1C1E">
        <w:trPr>
          <w:trHeight w:val="20"/>
        </w:trPr>
        <w:tc>
          <w:tcPr>
            <w:tcW w:w="1252" w:type="dxa"/>
            <w:tcBorders>
              <w:top w:val="nil"/>
              <w:left w:val="nil"/>
              <w:bottom w:val="nil"/>
              <w:right w:val="nil"/>
            </w:tcBorders>
            <w:shd w:val="clear" w:color="000000" w:fill="FFFFFF"/>
            <w:noWrap/>
            <w:hideMark/>
          </w:tcPr>
          <w:p w14:paraId="6F0075E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nil"/>
              <w:right w:val="nil"/>
            </w:tcBorders>
            <w:shd w:val="clear" w:color="000000" w:fill="FFFFFF"/>
            <w:noWrap/>
            <w:hideMark/>
          </w:tcPr>
          <w:p w14:paraId="7FB89F1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nil"/>
              <w:right w:val="nil"/>
            </w:tcBorders>
            <w:shd w:val="clear" w:color="000000" w:fill="FFFFFF"/>
            <w:noWrap/>
            <w:hideMark/>
          </w:tcPr>
          <w:p w14:paraId="68BC5D1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SF-12 PCSF</w:t>
            </w:r>
          </w:p>
        </w:tc>
        <w:tc>
          <w:tcPr>
            <w:tcW w:w="416" w:type="dxa"/>
            <w:tcBorders>
              <w:top w:val="nil"/>
              <w:left w:val="nil"/>
              <w:bottom w:val="nil"/>
              <w:right w:val="nil"/>
            </w:tcBorders>
            <w:shd w:val="clear" w:color="000000" w:fill="FFFFFF"/>
            <w:noWrap/>
            <w:hideMark/>
          </w:tcPr>
          <w:p w14:paraId="1D4D3C6A"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27,7</w:t>
            </w:r>
          </w:p>
        </w:tc>
        <w:tc>
          <w:tcPr>
            <w:tcW w:w="757" w:type="dxa"/>
            <w:tcBorders>
              <w:top w:val="nil"/>
              <w:left w:val="nil"/>
              <w:bottom w:val="nil"/>
              <w:right w:val="nil"/>
            </w:tcBorders>
            <w:shd w:val="clear" w:color="000000" w:fill="FFFFFF"/>
            <w:noWrap/>
            <w:hideMark/>
          </w:tcPr>
          <w:p w14:paraId="3713734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(6,2)</w:t>
            </w:r>
          </w:p>
        </w:tc>
        <w:tc>
          <w:tcPr>
            <w:tcW w:w="416" w:type="dxa"/>
            <w:tcBorders>
              <w:top w:val="nil"/>
              <w:left w:val="nil"/>
              <w:bottom w:val="nil"/>
              <w:right w:val="nil"/>
            </w:tcBorders>
            <w:shd w:val="clear" w:color="000000" w:fill="FFFFFF"/>
            <w:noWrap/>
            <w:hideMark/>
          </w:tcPr>
          <w:p w14:paraId="003AD45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36,1</w:t>
            </w:r>
          </w:p>
        </w:tc>
        <w:tc>
          <w:tcPr>
            <w:tcW w:w="523" w:type="dxa"/>
            <w:tcBorders>
              <w:top w:val="nil"/>
              <w:left w:val="nil"/>
              <w:bottom w:val="nil"/>
              <w:right w:val="nil"/>
            </w:tcBorders>
            <w:shd w:val="clear" w:color="000000" w:fill="FFFFFF"/>
            <w:noWrap/>
            <w:hideMark/>
          </w:tcPr>
          <w:p w14:paraId="6BF1147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(10,9)</w:t>
            </w:r>
          </w:p>
        </w:tc>
        <w:tc>
          <w:tcPr>
            <w:tcW w:w="1339" w:type="dxa"/>
            <w:tcBorders>
              <w:top w:val="nil"/>
              <w:left w:val="nil"/>
              <w:bottom w:val="nil"/>
              <w:right w:val="nil"/>
            </w:tcBorders>
            <w:shd w:val="clear" w:color="000000" w:fill="FFFFFF"/>
            <w:noWrap/>
            <w:hideMark/>
          </w:tcPr>
          <w:p w14:paraId="1AAB645D"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8,4</w:t>
            </w:r>
          </w:p>
        </w:tc>
        <w:tc>
          <w:tcPr>
            <w:tcW w:w="1065" w:type="dxa"/>
            <w:tcBorders>
              <w:top w:val="nil"/>
              <w:left w:val="nil"/>
              <w:bottom w:val="nil"/>
              <w:right w:val="nil"/>
            </w:tcBorders>
            <w:shd w:val="clear" w:color="000000" w:fill="FFFFFF"/>
            <w:noWrap/>
            <w:hideMark/>
          </w:tcPr>
          <w:p w14:paraId="3C361622"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30,3</w:t>
            </w:r>
          </w:p>
        </w:tc>
        <w:tc>
          <w:tcPr>
            <w:tcW w:w="809" w:type="dxa"/>
            <w:tcBorders>
              <w:top w:val="nil"/>
              <w:left w:val="nil"/>
              <w:bottom w:val="nil"/>
              <w:right w:val="nil"/>
            </w:tcBorders>
            <w:shd w:val="clear" w:color="000000" w:fill="FFFFFF"/>
            <w:noWrap/>
            <w:hideMark/>
          </w:tcPr>
          <w:p w14:paraId="01FBE1B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nil"/>
              <w:right w:val="nil"/>
            </w:tcBorders>
            <w:shd w:val="clear" w:color="000000" w:fill="FFFFFF"/>
            <w:noWrap/>
            <w:hideMark/>
          </w:tcPr>
          <w:p w14:paraId="370F926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nil"/>
              <w:right w:val="nil"/>
            </w:tcBorders>
            <w:shd w:val="clear" w:color="000000" w:fill="FFFFFF"/>
            <w:noWrap/>
            <w:hideMark/>
          </w:tcPr>
          <w:p w14:paraId="6B717B7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nil"/>
              <w:right w:val="nil"/>
            </w:tcBorders>
            <w:shd w:val="clear" w:color="000000" w:fill="FFFFFF"/>
            <w:noWrap/>
            <w:hideMark/>
          </w:tcPr>
          <w:p w14:paraId="7B99D46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nil"/>
              <w:right w:val="nil"/>
            </w:tcBorders>
            <w:shd w:val="clear" w:color="000000" w:fill="FFFFFF"/>
            <w:noWrap/>
            <w:hideMark/>
          </w:tcPr>
          <w:p w14:paraId="577737E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nil"/>
              <w:right w:val="nil"/>
            </w:tcBorders>
            <w:shd w:val="clear" w:color="000000" w:fill="FFFFFF"/>
            <w:noWrap/>
            <w:hideMark/>
          </w:tcPr>
          <w:p w14:paraId="13A999A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nil"/>
              <w:right w:val="nil"/>
            </w:tcBorders>
            <w:shd w:val="clear" w:color="000000" w:fill="FFFFFF"/>
            <w:noWrap/>
            <w:hideMark/>
          </w:tcPr>
          <w:p w14:paraId="6C7951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5077900C" w14:textId="77777777" w:rsidTr="00CF1C1E">
        <w:trPr>
          <w:trHeight w:val="20"/>
        </w:trPr>
        <w:tc>
          <w:tcPr>
            <w:tcW w:w="1252" w:type="dxa"/>
            <w:tcBorders>
              <w:top w:val="nil"/>
              <w:left w:val="nil"/>
              <w:bottom w:val="single" w:sz="8" w:space="0" w:color="auto"/>
              <w:right w:val="nil"/>
            </w:tcBorders>
            <w:shd w:val="clear" w:color="000000" w:fill="FFFFFF"/>
            <w:noWrap/>
            <w:hideMark/>
          </w:tcPr>
          <w:p w14:paraId="3556278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05" w:type="dxa"/>
            <w:tcBorders>
              <w:top w:val="nil"/>
              <w:left w:val="nil"/>
              <w:bottom w:val="single" w:sz="8" w:space="0" w:color="auto"/>
              <w:right w:val="nil"/>
            </w:tcBorders>
            <w:shd w:val="clear" w:color="000000" w:fill="FFFFFF"/>
            <w:noWrap/>
            <w:hideMark/>
          </w:tcPr>
          <w:p w14:paraId="4538395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563" w:type="dxa"/>
            <w:tcBorders>
              <w:top w:val="nil"/>
              <w:left w:val="nil"/>
              <w:bottom w:val="single" w:sz="8" w:space="0" w:color="auto"/>
              <w:right w:val="nil"/>
            </w:tcBorders>
            <w:shd w:val="clear" w:color="000000" w:fill="FFFFFF"/>
            <w:noWrap/>
            <w:hideMark/>
          </w:tcPr>
          <w:p w14:paraId="18FBC44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SF-12 PCSM</w:t>
            </w:r>
          </w:p>
        </w:tc>
        <w:tc>
          <w:tcPr>
            <w:tcW w:w="416" w:type="dxa"/>
            <w:tcBorders>
              <w:top w:val="nil"/>
              <w:left w:val="nil"/>
              <w:bottom w:val="single" w:sz="8" w:space="0" w:color="auto"/>
              <w:right w:val="nil"/>
            </w:tcBorders>
            <w:shd w:val="clear" w:color="000000" w:fill="FFFFFF"/>
            <w:noWrap/>
            <w:hideMark/>
          </w:tcPr>
          <w:p w14:paraId="0DA48D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33,2</w:t>
            </w:r>
          </w:p>
        </w:tc>
        <w:tc>
          <w:tcPr>
            <w:tcW w:w="757" w:type="dxa"/>
            <w:tcBorders>
              <w:top w:val="nil"/>
              <w:left w:val="nil"/>
              <w:bottom w:val="single" w:sz="8" w:space="0" w:color="auto"/>
              <w:right w:val="nil"/>
            </w:tcBorders>
            <w:shd w:val="clear" w:color="000000" w:fill="FFFFFF"/>
            <w:noWrap/>
            <w:hideMark/>
          </w:tcPr>
          <w:p w14:paraId="7CCEFE0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(9,9)</w:t>
            </w:r>
          </w:p>
        </w:tc>
        <w:tc>
          <w:tcPr>
            <w:tcW w:w="416" w:type="dxa"/>
            <w:tcBorders>
              <w:top w:val="nil"/>
              <w:left w:val="nil"/>
              <w:bottom w:val="single" w:sz="8" w:space="0" w:color="auto"/>
              <w:right w:val="nil"/>
            </w:tcBorders>
            <w:shd w:val="clear" w:color="000000" w:fill="FFFFFF"/>
            <w:noWrap/>
            <w:hideMark/>
          </w:tcPr>
          <w:p w14:paraId="2BF40798"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40,8</w:t>
            </w:r>
          </w:p>
        </w:tc>
        <w:tc>
          <w:tcPr>
            <w:tcW w:w="523" w:type="dxa"/>
            <w:tcBorders>
              <w:top w:val="nil"/>
              <w:left w:val="nil"/>
              <w:bottom w:val="single" w:sz="8" w:space="0" w:color="auto"/>
              <w:right w:val="nil"/>
            </w:tcBorders>
            <w:shd w:val="clear" w:color="000000" w:fill="FFFFFF"/>
            <w:noWrap/>
            <w:hideMark/>
          </w:tcPr>
          <w:p w14:paraId="4BD41CC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(12,2)</w:t>
            </w:r>
          </w:p>
        </w:tc>
        <w:tc>
          <w:tcPr>
            <w:tcW w:w="1339" w:type="dxa"/>
            <w:tcBorders>
              <w:top w:val="nil"/>
              <w:left w:val="nil"/>
              <w:bottom w:val="single" w:sz="8" w:space="0" w:color="auto"/>
              <w:right w:val="nil"/>
            </w:tcBorders>
            <w:shd w:val="clear" w:color="000000" w:fill="FFFFFF"/>
            <w:noWrap/>
            <w:hideMark/>
          </w:tcPr>
          <w:p w14:paraId="2360A781"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7,6</w:t>
            </w:r>
          </w:p>
        </w:tc>
        <w:tc>
          <w:tcPr>
            <w:tcW w:w="1065" w:type="dxa"/>
            <w:tcBorders>
              <w:top w:val="nil"/>
              <w:left w:val="nil"/>
              <w:bottom w:val="single" w:sz="8" w:space="0" w:color="auto"/>
              <w:right w:val="nil"/>
            </w:tcBorders>
            <w:shd w:val="clear" w:color="000000" w:fill="FFFFFF"/>
            <w:noWrap/>
            <w:hideMark/>
          </w:tcPr>
          <w:p w14:paraId="4E06D5F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22,9</w:t>
            </w:r>
          </w:p>
        </w:tc>
        <w:tc>
          <w:tcPr>
            <w:tcW w:w="809" w:type="dxa"/>
            <w:tcBorders>
              <w:top w:val="nil"/>
              <w:left w:val="nil"/>
              <w:bottom w:val="single" w:sz="8" w:space="0" w:color="auto"/>
              <w:right w:val="nil"/>
            </w:tcBorders>
            <w:shd w:val="clear" w:color="000000" w:fill="FFFFFF"/>
            <w:noWrap/>
            <w:hideMark/>
          </w:tcPr>
          <w:p w14:paraId="774AE68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single" w:sz="8" w:space="0" w:color="auto"/>
              <w:right w:val="nil"/>
            </w:tcBorders>
            <w:shd w:val="clear" w:color="000000" w:fill="FFFFFF"/>
            <w:noWrap/>
            <w:hideMark/>
          </w:tcPr>
          <w:p w14:paraId="0F7AB0A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single" w:sz="8" w:space="0" w:color="auto"/>
              <w:right w:val="nil"/>
            </w:tcBorders>
            <w:shd w:val="clear" w:color="000000" w:fill="FFFFFF"/>
            <w:noWrap/>
            <w:hideMark/>
          </w:tcPr>
          <w:p w14:paraId="70D8720D"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single" w:sz="8" w:space="0" w:color="auto"/>
              <w:right w:val="nil"/>
            </w:tcBorders>
            <w:shd w:val="clear" w:color="000000" w:fill="FFFFFF"/>
            <w:noWrap/>
            <w:hideMark/>
          </w:tcPr>
          <w:p w14:paraId="3A9C4613"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single" w:sz="8" w:space="0" w:color="auto"/>
              <w:right w:val="nil"/>
            </w:tcBorders>
            <w:shd w:val="clear" w:color="000000" w:fill="FFFFFF"/>
            <w:noWrap/>
            <w:hideMark/>
          </w:tcPr>
          <w:p w14:paraId="1839095E"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single" w:sz="8" w:space="0" w:color="auto"/>
              <w:right w:val="nil"/>
            </w:tcBorders>
            <w:shd w:val="clear" w:color="000000" w:fill="FFFFFF"/>
            <w:noWrap/>
            <w:hideMark/>
          </w:tcPr>
          <w:p w14:paraId="5F2913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single" w:sz="8" w:space="0" w:color="auto"/>
              <w:right w:val="nil"/>
            </w:tcBorders>
            <w:shd w:val="clear" w:color="000000" w:fill="FFFFFF"/>
            <w:noWrap/>
            <w:hideMark/>
          </w:tcPr>
          <w:p w14:paraId="45CC7A2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r w:rsidR="002E4D99" w:rsidRPr="00367BEC" w14:paraId="7F98EEBF" w14:textId="77777777" w:rsidTr="00CF1C1E">
        <w:trPr>
          <w:trHeight w:val="20"/>
        </w:trPr>
        <w:tc>
          <w:tcPr>
            <w:tcW w:w="1252" w:type="dxa"/>
            <w:tcBorders>
              <w:top w:val="nil"/>
              <w:left w:val="nil"/>
              <w:bottom w:val="single" w:sz="8" w:space="0" w:color="auto"/>
              <w:right w:val="nil"/>
            </w:tcBorders>
            <w:shd w:val="clear" w:color="000000" w:fill="FFFFFF"/>
            <w:noWrap/>
            <w:hideMark/>
          </w:tcPr>
          <w:p w14:paraId="15DE00B1"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Mercadante 2012</w:t>
            </w:r>
          </w:p>
        </w:tc>
        <w:tc>
          <w:tcPr>
            <w:tcW w:w="1105" w:type="dxa"/>
            <w:tcBorders>
              <w:top w:val="nil"/>
              <w:left w:val="nil"/>
              <w:bottom w:val="single" w:sz="8" w:space="0" w:color="auto"/>
              <w:right w:val="nil"/>
            </w:tcBorders>
            <w:shd w:val="clear" w:color="000000" w:fill="FFFFFF"/>
            <w:noWrap/>
            <w:hideMark/>
          </w:tcPr>
          <w:p w14:paraId="00CD4219"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TAP</w:t>
            </w:r>
          </w:p>
        </w:tc>
        <w:tc>
          <w:tcPr>
            <w:tcW w:w="1563" w:type="dxa"/>
            <w:tcBorders>
              <w:top w:val="nil"/>
              <w:left w:val="nil"/>
              <w:bottom w:val="single" w:sz="8" w:space="0" w:color="auto"/>
              <w:right w:val="nil"/>
            </w:tcBorders>
            <w:shd w:val="clear" w:color="000000" w:fill="FFFFFF"/>
            <w:noWrap/>
            <w:hideMark/>
          </w:tcPr>
          <w:p w14:paraId="5D6D6A9C" w14:textId="3F36E559"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xml:space="preserve">Spitzer </w:t>
            </w:r>
            <w:proofErr w:type="spellStart"/>
            <w:r w:rsidR="00111044">
              <w:rPr>
                <w:rFonts w:ascii="Times New Roman" w:hAnsi="Times New Roman"/>
                <w:color w:val="000000"/>
                <w:sz w:val="16"/>
              </w:rPr>
              <w:t>CdV</w:t>
            </w:r>
            <w:proofErr w:type="spellEnd"/>
            <w:r w:rsidRPr="00367BEC">
              <w:rPr>
                <w:rFonts w:ascii="Times New Roman" w:hAnsi="Times New Roman"/>
                <w:color w:val="000000"/>
                <w:sz w:val="16"/>
              </w:rPr>
              <w:t xml:space="preserve"> (sum</w:t>
            </w:r>
            <w:r w:rsidR="00111044">
              <w:rPr>
                <w:rFonts w:ascii="Times New Roman" w:hAnsi="Times New Roman"/>
                <w:color w:val="000000"/>
                <w:sz w:val="16"/>
              </w:rPr>
              <w:t>atorio</w:t>
            </w:r>
            <w:r w:rsidRPr="00367BEC">
              <w:rPr>
                <w:rFonts w:ascii="Times New Roman" w:hAnsi="Times New Roman"/>
                <w:color w:val="000000"/>
                <w:sz w:val="16"/>
              </w:rPr>
              <w:t>)</w:t>
            </w:r>
          </w:p>
        </w:tc>
        <w:tc>
          <w:tcPr>
            <w:tcW w:w="416" w:type="dxa"/>
            <w:tcBorders>
              <w:top w:val="nil"/>
              <w:left w:val="nil"/>
              <w:bottom w:val="single" w:sz="8" w:space="0" w:color="auto"/>
              <w:right w:val="nil"/>
            </w:tcBorders>
            <w:shd w:val="clear" w:color="000000" w:fill="FFFFFF"/>
            <w:noWrap/>
            <w:hideMark/>
          </w:tcPr>
          <w:p w14:paraId="499FBEFC"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6,5</w:t>
            </w:r>
          </w:p>
        </w:tc>
        <w:tc>
          <w:tcPr>
            <w:tcW w:w="757" w:type="dxa"/>
            <w:tcBorders>
              <w:top w:val="nil"/>
              <w:left w:val="nil"/>
              <w:bottom w:val="single" w:sz="8" w:space="0" w:color="auto"/>
              <w:right w:val="nil"/>
            </w:tcBorders>
            <w:shd w:val="clear" w:color="000000" w:fill="FFFFFF"/>
            <w:noWrap/>
            <w:hideMark/>
          </w:tcPr>
          <w:p w14:paraId="106EA676"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(1,8)</w:t>
            </w:r>
          </w:p>
        </w:tc>
        <w:tc>
          <w:tcPr>
            <w:tcW w:w="416" w:type="dxa"/>
            <w:tcBorders>
              <w:top w:val="nil"/>
              <w:left w:val="nil"/>
              <w:bottom w:val="single" w:sz="8" w:space="0" w:color="auto"/>
              <w:right w:val="nil"/>
            </w:tcBorders>
            <w:shd w:val="clear" w:color="000000" w:fill="FFFFFF"/>
            <w:noWrap/>
            <w:hideMark/>
          </w:tcPr>
          <w:p w14:paraId="7FF4B95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8,0</w:t>
            </w:r>
          </w:p>
        </w:tc>
        <w:tc>
          <w:tcPr>
            <w:tcW w:w="523" w:type="dxa"/>
            <w:tcBorders>
              <w:top w:val="nil"/>
              <w:left w:val="nil"/>
              <w:bottom w:val="single" w:sz="8" w:space="0" w:color="auto"/>
              <w:right w:val="nil"/>
            </w:tcBorders>
            <w:shd w:val="clear" w:color="000000" w:fill="FFFFFF"/>
            <w:noWrap/>
            <w:hideMark/>
          </w:tcPr>
          <w:p w14:paraId="6A76E21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(1,4)</w:t>
            </w:r>
          </w:p>
        </w:tc>
        <w:tc>
          <w:tcPr>
            <w:tcW w:w="1339" w:type="dxa"/>
            <w:tcBorders>
              <w:top w:val="nil"/>
              <w:left w:val="nil"/>
              <w:bottom w:val="single" w:sz="8" w:space="0" w:color="auto"/>
              <w:right w:val="nil"/>
            </w:tcBorders>
            <w:shd w:val="clear" w:color="000000" w:fill="FFFFFF"/>
            <w:noWrap/>
            <w:hideMark/>
          </w:tcPr>
          <w:p w14:paraId="6DCD9CFF"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1,4</w:t>
            </w:r>
          </w:p>
        </w:tc>
        <w:tc>
          <w:tcPr>
            <w:tcW w:w="1065" w:type="dxa"/>
            <w:tcBorders>
              <w:top w:val="nil"/>
              <w:left w:val="nil"/>
              <w:bottom w:val="single" w:sz="8" w:space="0" w:color="auto"/>
              <w:right w:val="nil"/>
            </w:tcBorders>
            <w:shd w:val="clear" w:color="000000" w:fill="FFFFFF"/>
            <w:noWrap/>
            <w:hideMark/>
          </w:tcPr>
          <w:p w14:paraId="040CC565" w14:textId="77777777" w:rsidR="002E4D99" w:rsidRPr="00367BEC" w:rsidRDefault="002E4D99" w:rsidP="00CF1C1E">
            <w:pPr>
              <w:spacing w:after="0" w:line="240" w:lineRule="auto"/>
              <w:rPr>
                <w:rFonts w:ascii="Times New Roman" w:eastAsia="Times New Roman" w:hAnsi="Times New Roman" w:cs="Times New Roman"/>
                <w:i/>
                <w:iCs/>
                <w:color w:val="000000"/>
                <w:sz w:val="16"/>
                <w:szCs w:val="16"/>
              </w:rPr>
            </w:pPr>
            <w:r w:rsidRPr="00367BEC">
              <w:rPr>
                <w:rFonts w:ascii="Times New Roman" w:hAnsi="Times New Roman"/>
                <w:i/>
                <w:color w:val="000000"/>
                <w:sz w:val="16"/>
              </w:rPr>
              <w:t>21,9</w:t>
            </w:r>
            <w:r w:rsidRPr="00367BEC">
              <w:rPr>
                <w:rFonts w:ascii="Times New Roman" w:hAnsi="Times New Roman"/>
                <w:b/>
                <w:color w:val="000000"/>
                <w:sz w:val="16"/>
                <w:vertAlign w:val="superscript"/>
              </w:rPr>
              <w:t>iii</w:t>
            </w:r>
          </w:p>
        </w:tc>
        <w:tc>
          <w:tcPr>
            <w:tcW w:w="809" w:type="dxa"/>
            <w:tcBorders>
              <w:top w:val="nil"/>
              <w:left w:val="nil"/>
              <w:bottom w:val="single" w:sz="8" w:space="0" w:color="auto"/>
              <w:right w:val="nil"/>
            </w:tcBorders>
            <w:shd w:val="clear" w:color="000000" w:fill="FFFFFF"/>
            <w:noWrap/>
            <w:hideMark/>
          </w:tcPr>
          <w:p w14:paraId="78FD76C0"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724" w:type="dxa"/>
            <w:gridSpan w:val="2"/>
            <w:tcBorders>
              <w:top w:val="nil"/>
              <w:left w:val="nil"/>
              <w:bottom w:val="single" w:sz="8" w:space="0" w:color="auto"/>
              <w:right w:val="nil"/>
            </w:tcBorders>
            <w:shd w:val="clear" w:color="000000" w:fill="FFFFFF"/>
            <w:noWrap/>
            <w:hideMark/>
          </w:tcPr>
          <w:p w14:paraId="2EC19365"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502" w:type="dxa"/>
            <w:tcBorders>
              <w:top w:val="nil"/>
              <w:left w:val="nil"/>
              <w:bottom w:val="single" w:sz="8" w:space="0" w:color="auto"/>
              <w:right w:val="nil"/>
            </w:tcBorders>
            <w:shd w:val="clear" w:color="000000" w:fill="FFFFFF"/>
            <w:noWrap/>
            <w:hideMark/>
          </w:tcPr>
          <w:p w14:paraId="5340560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657" w:type="dxa"/>
            <w:gridSpan w:val="3"/>
            <w:tcBorders>
              <w:top w:val="nil"/>
              <w:left w:val="nil"/>
              <w:bottom w:val="single" w:sz="8" w:space="0" w:color="auto"/>
              <w:right w:val="nil"/>
            </w:tcBorders>
            <w:shd w:val="clear" w:color="000000" w:fill="FFFFFF"/>
            <w:noWrap/>
            <w:hideMark/>
          </w:tcPr>
          <w:p w14:paraId="6631C15B"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492" w:type="dxa"/>
            <w:tcBorders>
              <w:top w:val="nil"/>
              <w:left w:val="nil"/>
              <w:bottom w:val="single" w:sz="8" w:space="0" w:color="auto"/>
              <w:right w:val="nil"/>
            </w:tcBorders>
            <w:shd w:val="clear" w:color="000000" w:fill="FFFFFF"/>
            <w:noWrap/>
            <w:hideMark/>
          </w:tcPr>
          <w:p w14:paraId="1DD3A657"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881" w:type="dxa"/>
            <w:tcBorders>
              <w:top w:val="nil"/>
              <w:left w:val="nil"/>
              <w:bottom w:val="single" w:sz="8" w:space="0" w:color="auto"/>
              <w:right w:val="nil"/>
            </w:tcBorders>
            <w:shd w:val="clear" w:color="000000" w:fill="FFFFFF"/>
            <w:noWrap/>
            <w:hideMark/>
          </w:tcPr>
          <w:p w14:paraId="5BA108C2"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c>
          <w:tcPr>
            <w:tcW w:w="1143" w:type="dxa"/>
            <w:tcBorders>
              <w:top w:val="nil"/>
              <w:left w:val="nil"/>
              <w:bottom w:val="single" w:sz="8" w:space="0" w:color="auto"/>
              <w:right w:val="nil"/>
            </w:tcBorders>
            <w:shd w:val="clear" w:color="000000" w:fill="FFFFFF"/>
            <w:noWrap/>
            <w:hideMark/>
          </w:tcPr>
          <w:p w14:paraId="4BD9DA4F" w14:textId="77777777" w:rsidR="002E4D99" w:rsidRPr="00367BEC" w:rsidRDefault="002E4D99" w:rsidP="00CF1C1E">
            <w:pPr>
              <w:spacing w:after="0" w:line="240" w:lineRule="auto"/>
              <w:rPr>
                <w:rFonts w:ascii="Times New Roman" w:eastAsia="Times New Roman" w:hAnsi="Times New Roman" w:cs="Times New Roman"/>
                <w:color w:val="000000"/>
                <w:sz w:val="16"/>
                <w:szCs w:val="16"/>
              </w:rPr>
            </w:pPr>
            <w:r w:rsidRPr="00367BEC">
              <w:rPr>
                <w:rFonts w:ascii="Times New Roman" w:hAnsi="Times New Roman"/>
                <w:color w:val="000000"/>
                <w:sz w:val="16"/>
              </w:rPr>
              <w:t> </w:t>
            </w:r>
          </w:p>
        </w:tc>
      </w:tr>
    </w:tbl>
    <w:p w14:paraId="290C24BA" w14:textId="77777777" w:rsidR="002E4D99" w:rsidRPr="00367BEC" w:rsidRDefault="002E4D99" w:rsidP="002E4D99">
      <w:pPr>
        <w:spacing w:after="0" w:line="360" w:lineRule="auto"/>
        <w:jc w:val="both"/>
        <w:rPr>
          <w:rFonts w:ascii="Times New Roman" w:eastAsia="Times New Roman" w:hAnsi="Times New Roman" w:cs="Times New Roman"/>
          <w:b/>
          <w:bCs/>
          <w:color w:val="000000"/>
          <w:sz w:val="16"/>
          <w:szCs w:val="16"/>
          <w:lang w:eastAsia="es-ES"/>
        </w:rPr>
      </w:pPr>
    </w:p>
    <w:p w14:paraId="51E9B97A" w14:textId="1553E8B6" w:rsidR="002E4D99" w:rsidRPr="00367BEC" w:rsidRDefault="002E4D99" w:rsidP="002E4D99">
      <w:pPr>
        <w:spacing w:after="0" w:line="240" w:lineRule="auto"/>
        <w:ind w:right="-1842"/>
        <w:jc w:val="both"/>
        <w:rPr>
          <w:rFonts w:ascii="Times New Roman" w:hAnsi="Times New Roman" w:cs="Times New Roman"/>
          <w:b/>
          <w:sz w:val="24"/>
          <w:szCs w:val="24"/>
        </w:rPr>
      </w:pPr>
      <w:r w:rsidRPr="00367BEC">
        <w:rPr>
          <w:rFonts w:ascii="Times New Roman" w:hAnsi="Times New Roman"/>
          <w:b/>
          <w:color w:val="000000"/>
          <w:sz w:val="16"/>
        </w:rPr>
        <w:t>Abreviaturas:</w:t>
      </w:r>
      <w:r w:rsidRPr="00367BEC">
        <w:rPr>
          <w:rFonts w:ascii="Times New Roman" w:hAnsi="Times New Roman"/>
          <w:color w:val="000000"/>
          <w:sz w:val="16"/>
        </w:rPr>
        <w:t xml:space="preserve"> </w:t>
      </w:r>
      <w:r w:rsidRPr="00367BEC">
        <w:rPr>
          <w:rFonts w:ascii="Times New Roman" w:hAnsi="Times New Roman"/>
          <w:sz w:val="16"/>
        </w:rPr>
        <w:t xml:space="preserve">d (día), </w:t>
      </w:r>
      <w:r w:rsidRPr="00367BEC">
        <w:rPr>
          <w:rFonts w:ascii="Times New Roman" w:hAnsi="Times New Roman"/>
          <w:color w:val="000000"/>
          <w:sz w:val="16"/>
        </w:rPr>
        <w:t>EQ-5D-3L (cuestionario europeo sobre la calidad de vida), m (mes), PCSM (</w:t>
      </w:r>
      <w:r w:rsidR="009759E2">
        <w:rPr>
          <w:rFonts w:ascii="Times New Roman" w:hAnsi="Times New Roman"/>
          <w:color w:val="000000"/>
          <w:sz w:val="16"/>
        </w:rPr>
        <w:t>p</w:t>
      </w:r>
      <w:r w:rsidRPr="00367BEC">
        <w:rPr>
          <w:rFonts w:ascii="Times New Roman" w:hAnsi="Times New Roman"/>
          <w:color w:val="000000"/>
          <w:sz w:val="16"/>
        </w:rPr>
        <w:t>untuación del componente de salud mental), EVN (escala de valoración numérica), OXN (oxicodona/naloxona), PCSF (Puntuación del componente de salud física), PR (</w:t>
      </w:r>
      <w:r w:rsidR="00784720">
        <w:rPr>
          <w:rFonts w:ascii="Times New Roman" w:hAnsi="Times New Roman"/>
          <w:color w:val="000000"/>
          <w:sz w:val="16"/>
        </w:rPr>
        <w:t>liberación prolongada</w:t>
      </w:r>
      <w:r w:rsidRPr="00367BEC">
        <w:rPr>
          <w:rFonts w:ascii="Times New Roman" w:hAnsi="Times New Roman"/>
          <w:color w:val="000000"/>
          <w:sz w:val="16"/>
        </w:rPr>
        <w:t xml:space="preserve">), QLIP (cuestionario de deterioro de la calidad de vida por dolor), </w:t>
      </w:r>
      <w:proofErr w:type="spellStart"/>
      <w:r w:rsidRPr="00367BEC">
        <w:rPr>
          <w:rFonts w:ascii="Times New Roman" w:hAnsi="Times New Roman"/>
          <w:color w:val="000000"/>
          <w:sz w:val="16"/>
        </w:rPr>
        <w:t>CdV</w:t>
      </w:r>
      <w:proofErr w:type="spellEnd"/>
      <w:r w:rsidRPr="00367BEC">
        <w:rPr>
          <w:rFonts w:ascii="Times New Roman" w:hAnsi="Times New Roman"/>
          <w:color w:val="000000"/>
          <w:sz w:val="16"/>
        </w:rPr>
        <w:t xml:space="preserve"> (calidad de vida), SF-12 y 36 (cuestionario de salud abreviado), TAP (tapentadol), TRA (tramadol), EVA (escala visual analógica), </w:t>
      </w:r>
      <w:proofErr w:type="spellStart"/>
      <w:r w:rsidRPr="00367BEC">
        <w:rPr>
          <w:rFonts w:ascii="Times New Roman" w:hAnsi="Times New Roman"/>
          <w:color w:val="000000"/>
          <w:sz w:val="16"/>
        </w:rPr>
        <w:t>sem</w:t>
      </w:r>
      <w:proofErr w:type="spellEnd"/>
      <w:r w:rsidRPr="00367BEC">
        <w:rPr>
          <w:rFonts w:ascii="Times New Roman" w:hAnsi="Times New Roman"/>
          <w:color w:val="000000"/>
          <w:sz w:val="16"/>
        </w:rPr>
        <w:t xml:space="preserve"> (semana); </w:t>
      </w:r>
      <w:r w:rsidRPr="00367BEC">
        <w:rPr>
          <w:rFonts w:ascii="Times New Roman" w:hAnsi="Times New Roman"/>
          <w:b/>
          <w:color w:val="000000"/>
          <w:sz w:val="20"/>
          <w:vertAlign w:val="superscript"/>
        </w:rPr>
        <w:t xml:space="preserve">a </w:t>
      </w:r>
      <w:r w:rsidRPr="00367BEC">
        <w:rPr>
          <w:rFonts w:ascii="Times New Roman" w:hAnsi="Times New Roman"/>
          <w:color w:val="000000"/>
          <w:sz w:val="16"/>
        </w:rPr>
        <w:t>cohorte con el 68,8 % en tratamiento con tramadol</w:t>
      </w:r>
      <w:r w:rsidRPr="00367BEC">
        <w:rPr>
          <w:rFonts w:ascii="Times New Roman" w:hAnsi="Times New Roman"/>
          <w:sz w:val="16"/>
        </w:rPr>
        <w:t xml:space="preserve">; </w:t>
      </w:r>
      <w:r w:rsidRPr="00367BEC">
        <w:rPr>
          <w:rFonts w:ascii="Times New Roman" w:hAnsi="Times New Roman"/>
          <w:color w:val="000000"/>
          <w:sz w:val="16"/>
        </w:rPr>
        <w:t>los datos representan la media (DE) o la mediana [</w:t>
      </w:r>
      <w:r w:rsidR="003C66E0">
        <w:rPr>
          <w:rFonts w:ascii="Times New Roman" w:hAnsi="Times New Roman"/>
          <w:color w:val="000000"/>
          <w:sz w:val="16"/>
        </w:rPr>
        <w:t>R</w:t>
      </w:r>
      <w:r w:rsidR="003C66E0" w:rsidRPr="00367BEC">
        <w:rPr>
          <w:rFonts w:ascii="Times New Roman" w:hAnsi="Times New Roman"/>
          <w:color w:val="000000"/>
          <w:sz w:val="16"/>
        </w:rPr>
        <w:t>IC</w:t>
      </w:r>
      <w:r w:rsidRPr="00367BEC">
        <w:rPr>
          <w:rFonts w:ascii="Times New Roman" w:hAnsi="Times New Roman"/>
          <w:color w:val="000000"/>
          <w:sz w:val="16"/>
        </w:rPr>
        <w:t xml:space="preserve">] a menos que se indique lo contrario; los números en </w:t>
      </w:r>
      <w:r w:rsidRPr="00367BEC">
        <w:rPr>
          <w:rFonts w:ascii="Times New Roman" w:hAnsi="Times New Roman"/>
          <w:i/>
          <w:color w:val="000000"/>
          <w:sz w:val="16"/>
        </w:rPr>
        <w:t>cursiva</w:t>
      </w:r>
      <w:r w:rsidRPr="00367BEC">
        <w:rPr>
          <w:rFonts w:ascii="Times New Roman" w:hAnsi="Times New Roman"/>
          <w:color w:val="000000"/>
          <w:sz w:val="16"/>
        </w:rPr>
        <w:t xml:space="preserve"> se han estimado a partir de datos proporcionados en el manuscrito</w:t>
      </w:r>
      <w:r w:rsidRPr="00367BEC">
        <w:rPr>
          <w:rFonts w:ascii="Times New Roman" w:hAnsi="Times New Roman"/>
          <w:sz w:val="16"/>
        </w:rPr>
        <w:t xml:space="preserve">; </w:t>
      </w:r>
      <w:r w:rsidRPr="00367BEC">
        <w:rPr>
          <w:rFonts w:ascii="Times New Roman" w:hAnsi="Times New Roman"/>
          <w:color w:val="000000"/>
          <w:sz w:val="16"/>
        </w:rPr>
        <w:t xml:space="preserve">las diferencias entre cohortes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r w:rsidRPr="00367BEC">
        <w:rPr>
          <w:rFonts w:ascii="Times New Roman" w:hAnsi="Times New Roman"/>
          <w:b/>
          <w:color w:val="000000"/>
          <w:sz w:val="16"/>
          <w:vertAlign w:val="superscript"/>
        </w:rPr>
        <w:t>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r w:rsidRPr="00367BEC">
        <w:rPr>
          <w:rFonts w:ascii="Times New Roman" w:hAnsi="Times New Roman"/>
          <w:b/>
          <w:color w:val="000000"/>
          <w:sz w:val="16"/>
          <w:vertAlign w:val="superscript"/>
        </w:rPr>
        <w:t>III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0,001), las diferencias </w:t>
      </w:r>
      <w:proofErr w:type="spellStart"/>
      <w:r w:rsidRPr="00367BEC">
        <w:rPr>
          <w:rFonts w:ascii="Times New Roman" w:hAnsi="Times New Roman"/>
          <w:color w:val="000000"/>
          <w:sz w:val="16"/>
        </w:rPr>
        <w:t>intracohorte</w:t>
      </w:r>
      <w:proofErr w:type="spellEnd"/>
      <w:r w:rsidRPr="00367BEC">
        <w:rPr>
          <w:rFonts w:ascii="Times New Roman" w:hAnsi="Times New Roman"/>
          <w:color w:val="000000"/>
          <w:sz w:val="16"/>
        </w:rPr>
        <w:t xml:space="preserve"> son </w:t>
      </w:r>
      <w:proofErr w:type="spellStart"/>
      <w:r w:rsidRPr="00367BEC">
        <w:rPr>
          <w:rFonts w:ascii="Times New Roman" w:hAnsi="Times New Roman"/>
          <w:b/>
          <w:color w:val="000000"/>
          <w:sz w:val="16"/>
          <w:vertAlign w:val="superscript"/>
        </w:rPr>
        <w:t>n.s.</w:t>
      </w:r>
      <w:proofErr w:type="spellEnd"/>
      <w:r w:rsidRPr="00367BEC">
        <w:rPr>
          <w:rFonts w:ascii="Times New Roman" w:hAnsi="Times New Roman"/>
          <w:color w:val="000000"/>
          <w:sz w:val="16"/>
        </w:rPr>
        <w:t xml:space="preserve">(no significativas) </w:t>
      </w:r>
      <w:r w:rsidRPr="00367BEC">
        <w:rPr>
          <w:rFonts w:ascii="Times New Roman" w:hAnsi="Times New Roman"/>
          <w:b/>
          <w:color w:val="000000"/>
          <w:sz w:val="16"/>
          <w:vertAlign w:val="superscript"/>
        </w:rPr>
        <w:t>i</w:t>
      </w:r>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0,05) </w:t>
      </w:r>
      <w:proofErr w:type="spellStart"/>
      <w:r w:rsidRPr="00367BEC">
        <w:rPr>
          <w:rFonts w:ascii="Times New Roman" w:hAnsi="Times New Roman"/>
          <w:b/>
          <w:color w:val="000000"/>
          <w:sz w:val="16"/>
          <w:vertAlign w:val="superscript"/>
        </w:rPr>
        <w:t>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xml:space="preserve"> &lt; 0,01) </w:t>
      </w:r>
      <w:proofErr w:type="spellStart"/>
      <w:r w:rsidRPr="00367BEC">
        <w:rPr>
          <w:rFonts w:ascii="Times New Roman" w:hAnsi="Times New Roman"/>
          <w:b/>
          <w:color w:val="000000"/>
          <w:sz w:val="16"/>
          <w:vertAlign w:val="superscript"/>
        </w:rPr>
        <w:t>iii</w:t>
      </w:r>
      <w:proofErr w:type="spellEnd"/>
      <w:r w:rsidRPr="00367BEC">
        <w:rPr>
          <w:rFonts w:ascii="Times New Roman" w:hAnsi="Times New Roman"/>
          <w:color w:val="000000"/>
          <w:sz w:val="16"/>
        </w:rPr>
        <w:t>(</w:t>
      </w:r>
      <w:r w:rsidRPr="00367BEC">
        <w:rPr>
          <w:rFonts w:ascii="Times New Roman" w:hAnsi="Times New Roman"/>
          <w:i/>
          <w:iCs/>
          <w:color w:val="000000"/>
          <w:sz w:val="16"/>
        </w:rPr>
        <w:t>p</w:t>
      </w:r>
      <w:r w:rsidRPr="00367BEC">
        <w:rPr>
          <w:rFonts w:ascii="Times New Roman" w:hAnsi="Times New Roman"/>
          <w:color w:val="000000"/>
          <w:sz w:val="16"/>
        </w:rPr>
        <w:t> &lt; 0,001).</w:t>
      </w:r>
    </w:p>
    <w:p w14:paraId="0E7D6938" w14:textId="77777777" w:rsidR="002E4D99" w:rsidRPr="00367BEC" w:rsidRDefault="002E4D99" w:rsidP="002E4D99">
      <w:pPr>
        <w:rPr>
          <w:rFonts w:ascii="Times New Roman" w:hAnsi="Times New Roman" w:cs="Times New Roman"/>
          <w:b/>
          <w:sz w:val="24"/>
          <w:szCs w:val="24"/>
        </w:rPr>
      </w:pPr>
      <w:r w:rsidRPr="00367BEC">
        <w:br w:type="page"/>
      </w:r>
    </w:p>
    <w:p w14:paraId="7C3A5265"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11. </w:t>
      </w:r>
      <w:r w:rsidRPr="00367BEC">
        <w:rPr>
          <w:rFonts w:ascii="Times New Roman" w:hAnsi="Times New Roman"/>
        </w:rPr>
        <w:t>Descripción de otras herramientas de evaluación utilizadas y parámetros de respuesta</w:t>
      </w:r>
    </w:p>
    <w:p w14:paraId="6477F0B7"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11633" w:type="dxa"/>
        <w:tblCellMar>
          <w:left w:w="70" w:type="dxa"/>
          <w:right w:w="70" w:type="dxa"/>
        </w:tblCellMar>
        <w:tblLook w:val="04A0" w:firstRow="1" w:lastRow="0" w:firstColumn="1" w:lastColumn="0" w:noHBand="0" w:noVBand="1"/>
      </w:tblPr>
      <w:tblGrid>
        <w:gridCol w:w="1480"/>
        <w:gridCol w:w="10153"/>
      </w:tblGrid>
      <w:tr w:rsidR="002E4D99" w:rsidRPr="00367BEC" w14:paraId="7F179231" w14:textId="77777777" w:rsidTr="00CF1C1E">
        <w:trPr>
          <w:trHeight w:val="283"/>
        </w:trPr>
        <w:tc>
          <w:tcPr>
            <w:tcW w:w="1480" w:type="dxa"/>
            <w:tcBorders>
              <w:top w:val="nil"/>
              <w:left w:val="nil"/>
              <w:bottom w:val="nil"/>
              <w:right w:val="nil"/>
            </w:tcBorders>
            <w:shd w:val="clear" w:color="000000" w:fill="FFFFFF"/>
            <w:noWrap/>
            <w:vAlign w:val="center"/>
            <w:hideMark/>
          </w:tcPr>
          <w:p w14:paraId="685A786A"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Herramienta</w:t>
            </w:r>
          </w:p>
        </w:tc>
        <w:tc>
          <w:tcPr>
            <w:tcW w:w="10153" w:type="dxa"/>
            <w:tcBorders>
              <w:top w:val="nil"/>
              <w:left w:val="nil"/>
              <w:bottom w:val="nil"/>
              <w:right w:val="nil"/>
            </w:tcBorders>
            <w:shd w:val="clear" w:color="000000" w:fill="FFFFFF"/>
            <w:noWrap/>
            <w:vAlign w:val="center"/>
            <w:hideMark/>
          </w:tcPr>
          <w:p w14:paraId="71CA75D6"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Definición</w:t>
            </w:r>
          </w:p>
        </w:tc>
      </w:tr>
      <w:tr w:rsidR="002E4D99" w:rsidRPr="00367BEC" w14:paraId="7F34520F" w14:textId="77777777" w:rsidTr="00CF1C1E">
        <w:trPr>
          <w:trHeight w:val="20"/>
        </w:trPr>
        <w:tc>
          <w:tcPr>
            <w:tcW w:w="1480" w:type="dxa"/>
            <w:tcBorders>
              <w:top w:val="single" w:sz="8" w:space="0" w:color="auto"/>
              <w:left w:val="nil"/>
              <w:bottom w:val="nil"/>
              <w:right w:val="nil"/>
            </w:tcBorders>
            <w:shd w:val="clear" w:color="000000" w:fill="FFFFFF"/>
            <w:noWrap/>
            <w:hideMark/>
          </w:tcPr>
          <w:p w14:paraId="465060F4"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MFHW</w:t>
            </w:r>
          </w:p>
        </w:tc>
        <w:tc>
          <w:tcPr>
            <w:tcW w:w="10153" w:type="dxa"/>
            <w:tcBorders>
              <w:top w:val="single" w:sz="8" w:space="0" w:color="auto"/>
              <w:left w:val="nil"/>
              <w:bottom w:val="nil"/>
              <w:right w:val="nil"/>
            </w:tcBorders>
            <w:shd w:val="clear" w:color="000000" w:fill="FFFFFF"/>
            <w:noWrap/>
            <w:hideMark/>
          </w:tcPr>
          <w:p w14:paraId="14A453EC" w14:textId="5240846F"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del Cuestionario de Bienestar Habitual de Marburgo de 0 = «peor estado posible» a 5 = «mejor estado posible»</w:t>
            </w:r>
          </w:p>
        </w:tc>
      </w:tr>
      <w:tr w:rsidR="002E4D99" w:rsidRPr="00367BEC" w14:paraId="6C797A7A" w14:textId="77777777" w:rsidTr="00CF1C1E">
        <w:trPr>
          <w:trHeight w:val="20"/>
        </w:trPr>
        <w:tc>
          <w:tcPr>
            <w:tcW w:w="1480" w:type="dxa"/>
            <w:tcBorders>
              <w:top w:val="nil"/>
              <w:left w:val="nil"/>
              <w:bottom w:val="nil"/>
              <w:right w:val="nil"/>
            </w:tcBorders>
            <w:shd w:val="clear" w:color="000000" w:fill="FFFFFF"/>
            <w:noWrap/>
            <w:vAlign w:val="bottom"/>
            <w:hideMark/>
          </w:tcPr>
          <w:p w14:paraId="153CF4AD"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0153" w:type="dxa"/>
            <w:tcBorders>
              <w:top w:val="nil"/>
              <w:left w:val="nil"/>
              <w:bottom w:val="nil"/>
              <w:right w:val="nil"/>
            </w:tcBorders>
            <w:shd w:val="clear" w:color="000000" w:fill="FFFFFF"/>
            <w:noWrap/>
            <w:hideMark/>
          </w:tcPr>
          <w:p w14:paraId="5E8341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741120C" w14:textId="77777777" w:rsidTr="00CF1C1E">
        <w:trPr>
          <w:trHeight w:val="20"/>
        </w:trPr>
        <w:tc>
          <w:tcPr>
            <w:tcW w:w="1480" w:type="dxa"/>
            <w:tcBorders>
              <w:top w:val="nil"/>
              <w:left w:val="nil"/>
              <w:bottom w:val="single" w:sz="4" w:space="0" w:color="auto"/>
              <w:right w:val="nil"/>
            </w:tcBorders>
            <w:shd w:val="clear" w:color="000000" w:fill="FFFFFF"/>
            <w:noWrap/>
            <w:hideMark/>
          </w:tcPr>
          <w:p w14:paraId="0B5C94FB"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&lt;2,5 (%)</w:t>
            </w:r>
          </w:p>
        </w:tc>
        <w:tc>
          <w:tcPr>
            <w:tcW w:w="10153" w:type="dxa"/>
            <w:tcBorders>
              <w:top w:val="nil"/>
              <w:left w:val="nil"/>
              <w:bottom w:val="single" w:sz="4" w:space="0" w:color="auto"/>
              <w:right w:val="nil"/>
            </w:tcBorders>
            <w:shd w:val="clear" w:color="000000" w:fill="FFFFFF"/>
            <w:noWrap/>
            <w:hideMark/>
          </w:tcPr>
          <w:p w14:paraId="79CC21F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puntuación &lt;2,5 en MFHW</w:t>
            </w:r>
          </w:p>
        </w:tc>
      </w:tr>
      <w:tr w:rsidR="002E4D99" w:rsidRPr="00367BEC" w14:paraId="09B6EB5B" w14:textId="77777777" w:rsidTr="00CF1C1E">
        <w:trPr>
          <w:trHeight w:val="20"/>
        </w:trPr>
        <w:tc>
          <w:tcPr>
            <w:tcW w:w="1480" w:type="dxa"/>
            <w:tcBorders>
              <w:top w:val="nil"/>
              <w:left w:val="nil"/>
              <w:bottom w:val="nil"/>
              <w:right w:val="nil"/>
            </w:tcBorders>
            <w:shd w:val="clear" w:color="000000" w:fill="FFFFFF"/>
            <w:hideMark/>
          </w:tcPr>
          <w:p w14:paraId="065E2B1B"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proofErr w:type="spellStart"/>
            <w:r w:rsidRPr="00367BEC">
              <w:rPr>
                <w:rFonts w:ascii="Times New Roman" w:hAnsi="Times New Roman"/>
                <w:b/>
                <w:color w:val="000000"/>
                <w:sz w:val="20"/>
              </w:rPr>
              <w:t>mPDI</w:t>
            </w:r>
            <w:proofErr w:type="spellEnd"/>
          </w:p>
        </w:tc>
        <w:tc>
          <w:tcPr>
            <w:tcW w:w="10153" w:type="dxa"/>
            <w:tcBorders>
              <w:top w:val="nil"/>
              <w:left w:val="nil"/>
              <w:bottom w:val="nil"/>
              <w:right w:val="nil"/>
            </w:tcBorders>
            <w:shd w:val="clear" w:color="000000" w:fill="FFFFFF"/>
            <w:hideMark/>
          </w:tcPr>
          <w:p w14:paraId="65A86EFE" w14:textId="6C4CE4BC"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del Índice de Discapacidad por Dolor modificado de 0 = «sin discapacidad» a 10 = «discapacidad total»</w:t>
            </w:r>
          </w:p>
        </w:tc>
      </w:tr>
      <w:tr w:rsidR="002E4D99" w:rsidRPr="00367BEC" w14:paraId="68744294" w14:textId="77777777" w:rsidTr="00CF1C1E">
        <w:trPr>
          <w:trHeight w:val="20"/>
        </w:trPr>
        <w:tc>
          <w:tcPr>
            <w:tcW w:w="1480" w:type="dxa"/>
            <w:tcBorders>
              <w:top w:val="nil"/>
              <w:left w:val="nil"/>
              <w:bottom w:val="nil"/>
              <w:right w:val="nil"/>
            </w:tcBorders>
            <w:shd w:val="clear" w:color="000000" w:fill="FFFFFF"/>
            <w:noWrap/>
            <w:vAlign w:val="bottom"/>
            <w:hideMark/>
          </w:tcPr>
          <w:p w14:paraId="496FB6CF"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0153" w:type="dxa"/>
            <w:tcBorders>
              <w:top w:val="nil"/>
              <w:left w:val="nil"/>
              <w:bottom w:val="nil"/>
              <w:right w:val="nil"/>
            </w:tcBorders>
            <w:shd w:val="clear" w:color="000000" w:fill="FFFFFF"/>
            <w:noWrap/>
            <w:hideMark/>
          </w:tcPr>
          <w:p w14:paraId="5DC4F83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5E00123F" w14:textId="77777777" w:rsidTr="00CF1C1E">
        <w:trPr>
          <w:trHeight w:val="20"/>
        </w:trPr>
        <w:tc>
          <w:tcPr>
            <w:tcW w:w="1480" w:type="dxa"/>
            <w:tcBorders>
              <w:top w:val="nil"/>
              <w:left w:val="nil"/>
              <w:bottom w:val="nil"/>
              <w:right w:val="nil"/>
            </w:tcBorders>
            <w:shd w:val="clear" w:color="000000" w:fill="FFFFFF"/>
            <w:noWrap/>
            <w:vAlign w:val="center"/>
            <w:hideMark/>
          </w:tcPr>
          <w:p w14:paraId="4F2B22B9"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&gt;7 (%)</w:t>
            </w:r>
          </w:p>
        </w:tc>
        <w:tc>
          <w:tcPr>
            <w:tcW w:w="10153" w:type="dxa"/>
            <w:tcBorders>
              <w:top w:val="nil"/>
              <w:left w:val="nil"/>
              <w:bottom w:val="nil"/>
              <w:right w:val="nil"/>
            </w:tcBorders>
            <w:shd w:val="clear" w:color="000000" w:fill="FFFFFF"/>
            <w:noWrap/>
            <w:vAlign w:val="center"/>
            <w:hideMark/>
          </w:tcPr>
          <w:p w14:paraId="44DFEFD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Proporción de pacientes muy afectados con una puntuación &gt;7 en </w:t>
            </w:r>
            <w:proofErr w:type="spellStart"/>
            <w:r w:rsidRPr="00367BEC">
              <w:rPr>
                <w:rFonts w:ascii="Times New Roman" w:hAnsi="Times New Roman"/>
                <w:color w:val="000000"/>
                <w:sz w:val="20"/>
              </w:rPr>
              <w:t>mPDI</w:t>
            </w:r>
            <w:proofErr w:type="spellEnd"/>
          </w:p>
        </w:tc>
      </w:tr>
      <w:tr w:rsidR="002E4D99" w:rsidRPr="00367BEC" w14:paraId="3043CA26" w14:textId="77777777" w:rsidTr="00CF1C1E">
        <w:trPr>
          <w:trHeight w:val="20"/>
        </w:trPr>
        <w:tc>
          <w:tcPr>
            <w:tcW w:w="1480" w:type="dxa"/>
            <w:tcBorders>
              <w:top w:val="nil"/>
              <w:left w:val="nil"/>
              <w:bottom w:val="single" w:sz="4" w:space="0" w:color="auto"/>
              <w:right w:val="nil"/>
            </w:tcBorders>
            <w:shd w:val="clear" w:color="000000" w:fill="FFFFFF"/>
            <w:noWrap/>
            <w:vAlign w:val="center"/>
            <w:hideMark/>
          </w:tcPr>
          <w:p w14:paraId="43C8D540"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&gt;43 (%)</w:t>
            </w:r>
          </w:p>
        </w:tc>
        <w:tc>
          <w:tcPr>
            <w:tcW w:w="10153" w:type="dxa"/>
            <w:tcBorders>
              <w:top w:val="nil"/>
              <w:left w:val="nil"/>
              <w:bottom w:val="single" w:sz="4" w:space="0" w:color="auto"/>
              <w:right w:val="nil"/>
            </w:tcBorders>
            <w:shd w:val="clear" w:color="000000" w:fill="FFFFFF"/>
            <w:noWrap/>
            <w:vAlign w:val="center"/>
            <w:hideMark/>
          </w:tcPr>
          <w:p w14:paraId="0AA9D45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Proporción de pacientes muy afectados con una puntuación total &gt;43 de 70 en </w:t>
            </w:r>
            <w:proofErr w:type="spellStart"/>
            <w:r w:rsidRPr="00367BEC">
              <w:rPr>
                <w:rFonts w:ascii="Times New Roman" w:hAnsi="Times New Roman"/>
                <w:color w:val="000000"/>
                <w:sz w:val="20"/>
              </w:rPr>
              <w:t>mPDI</w:t>
            </w:r>
            <w:proofErr w:type="spellEnd"/>
          </w:p>
        </w:tc>
      </w:tr>
      <w:tr w:rsidR="002E4D99" w:rsidRPr="00367BEC" w14:paraId="65B9518B" w14:textId="77777777" w:rsidTr="00CF1C1E">
        <w:trPr>
          <w:trHeight w:val="20"/>
        </w:trPr>
        <w:tc>
          <w:tcPr>
            <w:tcW w:w="1480" w:type="dxa"/>
            <w:tcBorders>
              <w:top w:val="nil"/>
              <w:left w:val="nil"/>
              <w:bottom w:val="nil"/>
              <w:right w:val="nil"/>
            </w:tcBorders>
            <w:shd w:val="clear" w:color="000000" w:fill="FFFFFF"/>
            <w:hideMark/>
          </w:tcPr>
          <w:p w14:paraId="33AEE4A7"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HADS</w:t>
            </w:r>
          </w:p>
        </w:tc>
        <w:tc>
          <w:tcPr>
            <w:tcW w:w="10153" w:type="dxa"/>
            <w:tcBorders>
              <w:top w:val="nil"/>
              <w:left w:val="nil"/>
              <w:bottom w:val="nil"/>
              <w:right w:val="nil"/>
            </w:tcBorders>
            <w:shd w:val="clear" w:color="000000" w:fill="FFFFFF"/>
            <w:hideMark/>
          </w:tcPr>
          <w:p w14:paraId="5786B422" w14:textId="7B83D77F"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 la Escala de Ansiedad y Depresión Hospitalaria de 0 a 21, donde 1-7 = «normal», 11-21 = «afectación moderada/considerable»</w:t>
            </w:r>
          </w:p>
        </w:tc>
      </w:tr>
      <w:tr w:rsidR="002E4D99" w:rsidRPr="00367BEC" w14:paraId="2809C5FD" w14:textId="77777777" w:rsidTr="00CF1C1E">
        <w:trPr>
          <w:trHeight w:val="20"/>
        </w:trPr>
        <w:tc>
          <w:tcPr>
            <w:tcW w:w="1480" w:type="dxa"/>
            <w:tcBorders>
              <w:top w:val="nil"/>
              <w:left w:val="nil"/>
              <w:bottom w:val="nil"/>
              <w:right w:val="nil"/>
            </w:tcBorders>
            <w:shd w:val="clear" w:color="000000" w:fill="FFFFFF"/>
            <w:noWrap/>
            <w:vAlign w:val="bottom"/>
            <w:hideMark/>
          </w:tcPr>
          <w:p w14:paraId="117A2F7E"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0153" w:type="dxa"/>
            <w:tcBorders>
              <w:top w:val="nil"/>
              <w:left w:val="nil"/>
              <w:bottom w:val="nil"/>
              <w:right w:val="nil"/>
            </w:tcBorders>
            <w:shd w:val="clear" w:color="000000" w:fill="FFFFFF"/>
            <w:noWrap/>
            <w:hideMark/>
          </w:tcPr>
          <w:p w14:paraId="177CC12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3562B975" w14:textId="77777777" w:rsidTr="00CF1C1E">
        <w:trPr>
          <w:trHeight w:val="20"/>
        </w:trPr>
        <w:tc>
          <w:tcPr>
            <w:tcW w:w="1480" w:type="dxa"/>
            <w:tcBorders>
              <w:top w:val="nil"/>
              <w:left w:val="nil"/>
              <w:bottom w:val="nil"/>
              <w:right w:val="nil"/>
            </w:tcBorders>
            <w:shd w:val="clear" w:color="000000" w:fill="FFFFFF"/>
            <w:noWrap/>
            <w:vAlign w:val="center"/>
            <w:hideMark/>
          </w:tcPr>
          <w:p w14:paraId="19FD3AD4"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1-7 (%)</w:t>
            </w:r>
          </w:p>
        </w:tc>
        <w:tc>
          <w:tcPr>
            <w:tcW w:w="10153" w:type="dxa"/>
            <w:tcBorders>
              <w:top w:val="nil"/>
              <w:left w:val="nil"/>
              <w:bottom w:val="nil"/>
              <w:right w:val="nil"/>
            </w:tcBorders>
            <w:shd w:val="clear" w:color="000000" w:fill="FFFFFF"/>
            <w:noWrap/>
            <w:vAlign w:val="center"/>
            <w:hideMark/>
          </w:tcPr>
          <w:p w14:paraId="22C6882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una suma de puntuación de 1-7 en HADS</w:t>
            </w:r>
          </w:p>
        </w:tc>
      </w:tr>
      <w:tr w:rsidR="002E4D99" w:rsidRPr="00367BEC" w14:paraId="7769FD20" w14:textId="77777777" w:rsidTr="00CF1C1E">
        <w:trPr>
          <w:trHeight w:val="20"/>
        </w:trPr>
        <w:tc>
          <w:tcPr>
            <w:tcW w:w="1480" w:type="dxa"/>
            <w:tcBorders>
              <w:top w:val="nil"/>
              <w:left w:val="nil"/>
              <w:bottom w:val="single" w:sz="4" w:space="0" w:color="auto"/>
              <w:right w:val="nil"/>
            </w:tcBorders>
            <w:shd w:val="clear" w:color="000000" w:fill="FFFFFF"/>
            <w:noWrap/>
            <w:hideMark/>
          </w:tcPr>
          <w:p w14:paraId="27717D32"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11-21 (%)</w:t>
            </w:r>
          </w:p>
        </w:tc>
        <w:tc>
          <w:tcPr>
            <w:tcW w:w="10153" w:type="dxa"/>
            <w:tcBorders>
              <w:top w:val="nil"/>
              <w:left w:val="nil"/>
              <w:bottom w:val="single" w:sz="4" w:space="0" w:color="auto"/>
              <w:right w:val="nil"/>
            </w:tcBorders>
            <w:shd w:val="clear" w:color="000000" w:fill="FFFFFF"/>
            <w:noWrap/>
            <w:hideMark/>
          </w:tcPr>
          <w:p w14:paraId="47DCA9C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afectación moderada/considerable con una suma de puntuación de 11-21 en HADS</w:t>
            </w:r>
          </w:p>
        </w:tc>
      </w:tr>
      <w:tr w:rsidR="002E4D99" w:rsidRPr="00367BEC" w14:paraId="4F135AFF" w14:textId="77777777" w:rsidTr="00CF1C1E">
        <w:trPr>
          <w:trHeight w:val="20"/>
        </w:trPr>
        <w:tc>
          <w:tcPr>
            <w:tcW w:w="1480" w:type="dxa"/>
            <w:tcBorders>
              <w:top w:val="single" w:sz="4" w:space="0" w:color="auto"/>
              <w:left w:val="nil"/>
              <w:bottom w:val="single" w:sz="4" w:space="0" w:color="auto"/>
              <w:right w:val="nil"/>
            </w:tcBorders>
            <w:shd w:val="clear" w:color="000000" w:fill="FFFFFF"/>
            <w:noWrap/>
            <w:hideMark/>
          </w:tcPr>
          <w:p w14:paraId="3820998E"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PSI-EVN</w:t>
            </w:r>
          </w:p>
        </w:tc>
        <w:tc>
          <w:tcPr>
            <w:tcW w:w="10153" w:type="dxa"/>
            <w:tcBorders>
              <w:top w:val="single" w:sz="4" w:space="0" w:color="auto"/>
              <w:left w:val="nil"/>
              <w:bottom w:val="single" w:sz="4" w:space="0" w:color="auto"/>
              <w:right w:val="nil"/>
            </w:tcBorders>
            <w:shd w:val="clear" w:color="000000" w:fill="FFFFFF"/>
            <w:noWrap/>
            <w:hideMark/>
          </w:tcPr>
          <w:p w14:paraId="55AFA9D6" w14:textId="7CF8D73D"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Interferencia en el sueño asociada al dolor en una escala numérica de 0 = «sin interferencia» a 10 = «interferencia total»</w:t>
            </w:r>
          </w:p>
        </w:tc>
      </w:tr>
      <w:tr w:rsidR="002E4D99" w:rsidRPr="00367BEC" w14:paraId="29C0C2B2" w14:textId="77777777" w:rsidTr="00CF1C1E">
        <w:trPr>
          <w:trHeight w:val="20"/>
        </w:trPr>
        <w:tc>
          <w:tcPr>
            <w:tcW w:w="1480" w:type="dxa"/>
            <w:tcBorders>
              <w:top w:val="single" w:sz="4" w:space="0" w:color="auto"/>
              <w:left w:val="nil"/>
              <w:bottom w:val="nil"/>
              <w:right w:val="nil"/>
            </w:tcBorders>
            <w:shd w:val="clear" w:color="000000" w:fill="FFFFFF"/>
            <w:hideMark/>
          </w:tcPr>
          <w:p w14:paraId="3496C3D3"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I-MPSS (%)</w:t>
            </w:r>
          </w:p>
        </w:tc>
        <w:tc>
          <w:tcPr>
            <w:tcW w:w="10153" w:type="dxa"/>
            <w:tcBorders>
              <w:top w:val="single" w:sz="4" w:space="0" w:color="auto"/>
              <w:left w:val="nil"/>
              <w:bottom w:val="nil"/>
              <w:right w:val="nil"/>
            </w:tcBorders>
            <w:shd w:val="clear" w:color="auto" w:fill="auto"/>
            <w:hideMark/>
          </w:tcPr>
          <w:p w14:paraId="16E351AB" w14:textId="4F134171"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Puntuación de la cronicidad del dolor en el Sistema de Estadificación del Dolor de </w:t>
            </w:r>
            <w:r w:rsidR="006F0A06" w:rsidRPr="00367BEC">
              <w:rPr>
                <w:rFonts w:ascii="Times New Roman" w:hAnsi="Times New Roman"/>
                <w:color w:val="000000"/>
                <w:sz w:val="20"/>
              </w:rPr>
              <w:t>Ma</w:t>
            </w:r>
            <w:r w:rsidR="006F0A06">
              <w:rPr>
                <w:rFonts w:ascii="Times New Roman" w:hAnsi="Times New Roman"/>
                <w:color w:val="000000"/>
                <w:sz w:val="20"/>
              </w:rPr>
              <w:t>inz</w:t>
            </w:r>
            <w:r w:rsidRPr="00367BEC">
              <w:rPr>
                <w:rFonts w:ascii="Times New Roman" w:hAnsi="Times New Roman"/>
                <w:color w:val="000000"/>
                <w:sz w:val="20"/>
              </w:rPr>
              <w:t>, de I = «estadio de cronicidad leve» a III = «estado de cronicidad considerable»</w:t>
            </w:r>
          </w:p>
        </w:tc>
      </w:tr>
      <w:tr w:rsidR="002E4D99" w:rsidRPr="00367BEC" w14:paraId="03DC4C45" w14:textId="77777777" w:rsidTr="00CF1C1E">
        <w:trPr>
          <w:trHeight w:val="20"/>
        </w:trPr>
        <w:tc>
          <w:tcPr>
            <w:tcW w:w="1480" w:type="dxa"/>
            <w:tcBorders>
              <w:top w:val="nil"/>
              <w:left w:val="nil"/>
              <w:bottom w:val="nil"/>
              <w:right w:val="nil"/>
            </w:tcBorders>
            <w:shd w:val="clear" w:color="000000" w:fill="FFFFFF"/>
            <w:noWrap/>
            <w:vAlign w:val="bottom"/>
            <w:hideMark/>
          </w:tcPr>
          <w:p w14:paraId="62F9FBA2"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0153" w:type="dxa"/>
            <w:tcBorders>
              <w:top w:val="nil"/>
              <w:left w:val="nil"/>
              <w:bottom w:val="nil"/>
              <w:right w:val="nil"/>
            </w:tcBorders>
            <w:shd w:val="clear" w:color="000000" w:fill="FFFFFF"/>
            <w:noWrap/>
            <w:hideMark/>
          </w:tcPr>
          <w:p w14:paraId="2B374EF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4DE42B83" w14:textId="77777777" w:rsidTr="00CF1C1E">
        <w:trPr>
          <w:trHeight w:val="20"/>
        </w:trPr>
        <w:tc>
          <w:tcPr>
            <w:tcW w:w="1480" w:type="dxa"/>
            <w:tcBorders>
              <w:top w:val="nil"/>
              <w:left w:val="nil"/>
              <w:bottom w:val="nil"/>
              <w:right w:val="nil"/>
            </w:tcBorders>
            <w:shd w:val="clear" w:color="000000" w:fill="FFFFFF"/>
            <w:noWrap/>
            <w:hideMark/>
          </w:tcPr>
          <w:p w14:paraId="3566A8F1"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Estadio I (%)</w:t>
            </w:r>
          </w:p>
        </w:tc>
        <w:tc>
          <w:tcPr>
            <w:tcW w:w="10153" w:type="dxa"/>
            <w:tcBorders>
              <w:top w:val="nil"/>
              <w:left w:val="nil"/>
              <w:bottom w:val="nil"/>
              <w:right w:val="nil"/>
            </w:tcBorders>
            <w:shd w:val="clear" w:color="000000" w:fill="FFFFFF"/>
            <w:noWrap/>
            <w:hideMark/>
          </w:tcPr>
          <w:p w14:paraId="3E6BF00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 estadio de cronicidad leve</w:t>
            </w:r>
          </w:p>
        </w:tc>
      </w:tr>
      <w:tr w:rsidR="002E4D99" w:rsidRPr="00367BEC" w14:paraId="39F494B2" w14:textId="77777777" w:rsidTr="00CF1C1E">
        <w:trPr>
          <w:trHeight w:val="20"/>
        </w:trPr>
        <w:tc>
          <w:tcPr>
            <w:tcW w:w="1480" w:type="dxa"/>
            <w:tcBorders>
              <w:top w:val="nil"/>
              <w:left w:val="nil"/>
              <w:bottom w:val="nil"/>
              <w:right w:val="nil"/>
            </w:tcBorders>
            <w:shd w:val="clear" w:color="000000" w:fill="FFFFFF"/>
            <w:noWrap/>
            <w:hideMark/>
          </w:tcPr>
          <w:p w14:paraId="45661ACE"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Estadio II (%)</w:t>
            </w:r>
          </w:p>
        </w:tc>
        <w:tc>
          <w:tcPr>
            <w:tcW w:w="10153" w:type="dxa"/>
            <w:tcBorders>
              <w:top w:val="nil"/>
              <w:left w:val="nil"/>
              <w:bottom w:val="nil"/>
              <w:right w:val="nil"/>
            </w:tcBorders>
            <w:shd w:val="clear" w:color="000000" w:fill="FFFFFF"/>
            <w:noWrap/>
            <w:hideMark/>
          </w:tcPr>
          <w:p w14:paraId="791F1EF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 estadio de cronicidad moderada</w:t>
            </w:r>
          </w:p>
        </w:tc>
      </w:tr>
      <w:tr w:rsidR="002E4D99" w:rsidRPr="00367BEC" w14:paraId="439B574E" w14:textId="77777777" w:rsidTr="00CF1C1E">
        <w:trPr>
          <w:trHeight w:val="20"/>
        </w:trPr>
        <w:tc>
          <w:tcPr>
            <w:tcW w:w="1480" w:type="dxa"/>
            <w:tcBorders>
              <w:top w:val="nil"/>
              <w:left w:val="nil"/>
              <w:bottom w:val="single" w:sz="4" w:space="0" w:color="auto"/>
              <w:right w:val="nil"/>
            </w:tcBorders>
            <w:shd w:val="clear" w:color="000000" w:fill="FFFFFF"/>
            <w:noWrap/>
            <w:hideMark/>
          </w:tcPr>
          <w:p w14:paraId="76F940E9"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Estadio III (%)</w:t>
            </w:r>
          </w:p>
        </w:tc>
        <w:tc>
          <w:tcPr>
            <w:tcW w:w="10153" w:type="dxa"/>
            <w:tcBorders>
              <w:top w:val="nil"/>
              <w:left w:val="nil"/>
              <w:bottom w:val="single" w:sz="4" w:space="0" w:color="auto"/>
              <w:right w:val="nil"/>
            </w:tcBorders>
            <w:shd w:val="clear" w:color="000000" w:fill="FFFFFF"/>
            <w:noWrap/>
            <w:hideMark/>
          </w:tcPr>
          <w:p w14:paraId="533C191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un estadio de cronicidad considerable</w:t>
            </w:r>
          </w:p>
        </w:tc>
      </w:tr>
      <w:tr w:rsidR="002E4D99" w:rsidRPr="00367BEC" w14:paraId="4D01D6D0" w14:textId="77777777" w:rsidTr="00CF1C1E">
        <w:trPr>
          <w:trHeight w:val="20"/>
        </w:trPr>
        <w:tc>
          <w:tcPr>
            <w:tcW w:w="1480" w:type="dxa"/>
            <w:tcBorders>
              <w:top w:val="nil"/>
              <w:left w:val="nil"/>
              <w:bottom w:val="nil"/>
              <w:right w:val="nil"/>
            </w:tcBorders>
            <w:shd w:val="clear" w:color="000000" w:fill="FFFFFF"/>
            <w:hideMark/>
          </w:tcPr>
          <w:p w14:paraId="39711DE8"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ODQ</w:t>
            </w:r>
          </w:p>
        </w:tc>
        <w:tc>
          <w:tcPr>
            <w:tcW w:w="10153" w:type="dxa"/>
            <w:tcBorders>
              <w:top w:val="nil"/>
              <w:left w:val="nil"/>
              <w:bottom w:val="nil"/>
              <w:right w:val="nil"/>
            </w:tcBorders>
            <w:shd w:val="clear" w:color="000000" w:fill="FFFFFF"/>
            <w:hideMark/>
          </w:tcPr>
          <w:p w14:paraId="43952D9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Puntuación de discapacidad funcional en el Cuestionario de Discapacidad de </w:t>
            </w:r>
            <w:proofErr w:type="spellStart"/>
            <w:r w:rsidRPr="00367BEC">
              <w:rPr>
                <w:rFonts w:ascii="Times New Roman" w:hAnsi="Times New Roman"/>
                <w:color w:val="000000"/>
                <w:sz w:val="20"/>
              </w:rPr>
              <w:t>Oswestry</w:t>
            </w:r>
            <w:proofErr w:type="spellEnd"/>
            <w:r w:rsidRPr="00367BEC">
              <w:rPr>
                <w:rFonts w:ascii="Times New Roman" w:hAnsi="Times New Roman"/>
                <w:color w:val="000000"/>
                <w:sz w:val="20"/>
              </w:rPr>
              <w:t>, de 0 = «sin discapacidad» a 100 = «máxima discapacidad posible»</w:t>
            </w:r>
          </w:p>
        </w:tc>
      </w:tr>
      <w:tr w:rsidR="002E4D99" w:rsidRPr="00367BEC" w14:paraId="653F11BD" w14:textId="77777777" w:rsidTr="00CF1C1E">
        <w:trPr>
          <w:trHeight w:val="20"/>
        </w:trPr>
        <w:tc>
          <w:tcPr>
            <w:tcW w:w="1480" w:type="dxa"/>
            <w:tcBorders>
              <w:top w:val="nil"/>
              <w:left w:val="nil"/>
              <w:bottom w:val="nil"/>
              <w:right w:val="nil"/>
            </w:tcBorders>
            <w:shd w:val="clear" w:color="000000" w:fill="FFFFFF"/>
            <w:noWrap/>
            <w:vAlign w:val="bottom"/>
            <w:hideMark/>
          </w:tcPr>
          <w:p w14:paraId="5A9AB9CF" w14:textId="77777777" w:rsidR="002E4D99" w:rsidRPr="00367BEC" w:rsidRDefault="002E4D99" w:rsidP="00CF1C1E">
            <w:pPr>
              <w:spacing w:after="0" w:line="240" w:lineRule="auto"/>
              <w:jc w:val="right"/>
              <w:rPr>
                <w:rFonts w:ascii="Times New Roman" w:eastAsia="Times New Roman" w:hAnsi="Times New Roman" w:cs="Times New Roman"/>
                <w:b/>
                <w:bCs/>
                <w:i/>
                <w:iCs/>
                <w:color w:val="000000"/>
                <w:sz w:val="20"/>
                <w:szCs w:val="20"/>
              </w:rPr>
            </w:pPr>
            <w:r w:rsidRPr="00367BEC">
              <w:rPr>
                <w:rFonts w:ascii="Times New Roman" w:hAnsi="Times New Roman"/>
                <w:b/>
                <w:i/>
                <w:color w:val="000000"/>
                <w:sz w:val="20"/>
              </w:rPr>
              <w:t>Respuesta</w:t>
            </w:r>
          </w:p>
        </w:tc>
        <w:tc>
          <w:tcPr>
            <w:tcW w:w="10153" w:type="dxa"/>
            <w:tcBorders>
              <w:top w:val="nil"/>
              <w:left w:val="nil"/>
              <w:bottom w:val="nil"/>
              <w:right w:val="nil"/>
            </w:tcBorders>
            <w:shd w:val="clear" w:color="000000" w:fill="FFFFFF"/>
            <w:noWrap/>
            <w:hideMark/>
          </w:tcPr>
          <w:p w14:paraId="7CD728A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1849753B" w14:textId="77777777" w:rsidTr="00CF1C1E">
        <w:trPr>
          <w:trHeight w:val="20"/>
        </w:trPr>
        <w:tc>
          <w:tcPr>
            <w:tcW w:w="1480" w:type="dxa"/>
            <w:tcBorders>
              <w:top w:val="nil"/>
              <w:left w:val="nil"/>
              <w:bottom w:val="nil"/>
              <w:right w:val="nil"/>
            </w:tcBorders>
            <w:shd w:val="clear" w:color="000000" w:fill="FFFFFF"/>
            <w:noWrap/>
            <w:hideMark/>
          </w:tcPr>
          <w:p w14:paraId="3F986ABC"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↓≥15 (%)</w:t>
            </w:r>
          </w:p>
        </w:tc>
        <w:tc>
          <w:tcPr>
            <w:tcW w:w="10153" w:type="dxa"/>
            <w:tcBorders>
              <w:top w:val="nil"/>
              <w:left w:val="nil"/>
              <w:bottom w:val="nil"/>
              <w:right w:val="nil"/>
            </w:tcBorders>
            <w:shd w:val="clear" w:color="000000" w:fill="FFFFFF"/>
            <w:noWrap/>
            <w:vAlign w:val="bottom"/>
            <w:hideMark/>
          </w:tcPr>
          <w:p w14:paraId="5543776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ODQ ≥15 % respecto al inicio</w:t>
            </w:r>
          </w:p>
        </w:tc>
      </w:tr>
      <w:tr w:rsidR="002E4D99" w:rsidRPr="00367BEC" w14:paraId="0000ECFD" w14:textId="77777777" w:rsidTr="00CF1C1E">
        <w:trPr>
          <w:trHeight w:val="20"/>
        </w:trPr>
        <w:tc>
          <w:tcPr>
            <w:tcW w:w="1480" w:type="dxa"/>
            <w:tcBorders>
              <w:top w:val="nil"/>
              <w:left w:val="nil"/>
              <w:bottom w:val="nil"/>
              <w:right w:val="nil"/>
            </w:tcBorders>
            <w:shd w:val="clear" w:color="000000" w:fill="FFFFFF"/>
            <w:noWrap/>
            <w:hideMark/>
          </w:tcPr>
          <w:p w14:paraId="552309BC"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↓≥10 (%)</w:t>
            </w:r>
          </w:p>
        </w:tc>
        <w:tc>
          <w:tcPr>
            <w:tcW w:w="10153" w:type="dxa"/>
            <w:tcBorders>
              <w:top w:val="nil"/>
              <w:left w:val="nil"/>
              <w:bottom w:val="nil"/>
              <w:right w:val="nil"/>
            </w:tcBorders>
            <w:shd w:val="clear" w:color="000000" w:fill="FFFFFF"/>
            <w:noWrap/>
            <w:vAlign w:val="bottom"/>
            <w:hideMark/>
          </w:tcPr>
          <w:p w14:paraId="3C395F1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ODQ ≥10 % respecto al inicio</w:t>
            </w:r>
          </w:p>
        </w:tc>
      </w:tr>
      <w:tr w:rsidR="002E4D99" w:rsidRPr="00367BEC" w14:paraId="79559135" w14:textId="77777777" w:rsidTr="00CF1C1E">
        <w:trPr>
          <w:trHeight w:val="20"/>
        </w:trPr>
        <w:tc>
          <w:tcPr>
            <w:tcW w:w="1480" w:type="dxa"/>
            <w:tcBorders>
              <w:top w:val="nil"/>
              <w:left w:val="nil"/>
              <w:bottom w:val="single" w:sz="4" w:space="0" w:color="auto"/>
              <w:right w:val="nil"/>
            </w:tcBorders>
            <w:shd w:val="clear" w:color="000000" w:fill="FFFFFF"/>
            <w:noWrap/>
            <w:hideMark/>
          </w:tcPr>
          <w:p w14:paraId="3E906945"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↓≥20 (%)</w:t>
            </w:r>
          </w:p>
        </w:tc>
        <w:tc>
          <w:tcPr>
            <w:tcW w:w="10153" w:type="dxa"/>
            <w:tcBorders>
              <w:top w:val="nil"/>
              <w:left w:val="nil"/>
              <w:bottom w:val="single" w:sz="4" w:space="0" w:color="auto"/>
              <w:right w:val="nil"/>
            </w:tcBorders>
            <w:shd w:val="clear" w:color="000000" w:fill="FFFFFF"/>
            <w:noWrap/>
            <w:vAlign w:val="bottom"/>
            <w:hideMark/>
          </w:tcPr>
          <w:p w14:paraId="4523613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Proporción de pacientes con reducción de la puntuación ODQ ≥20 % respecto al inicio</w:t>
            </w:r>
          </w:p>
        </w:tc>
      </w:tr>
      <w:tr w:rsidR="002E4D99" w:rsidRPr="00367BEC" w14:paraId="02767723" w14:textId="77777777" w:rsidTr="00CF1C1E">
        <w:trPr>
          <w:trHeight w:val="20"/>
        </w:trPr>
        <w:tc>
          <w:tcPr>
            <w:tcW w:w="1480" w:type="dxa"/>
            <w:tcBorders>
              <w:top w:val="nil"/>
              <w:left w:val="nil"/>
              <w:bottom w:val="nil"/>
              <w:right w:val="nil"/>
            </w:tcBorders>
            <w:shd w:val="clear" w:color="000000" w:fill="FFFFFF"/>
            <w:noWrap/>
            <w:hideMark/>
          </w:tcPr>
          <w:p w14:paraId="62B0A5B9"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MDASI-EVN</w:t>
            </w:r>
          </w:p>
        </w:tc>
        <w:tc>
          <w:tcPr>
            <w:tcW w:w="10153" w:type="dxa"/>
            <w:tcBorders>
              <w:top w:val="nil"/>
              <w:left w:val="nil"/>
              <w:bottom w:val="nil"/>
              <w:right w:val="nil"/>
            </w:tcBorders>
            <w:shd w:val="clear" w:color="000000" w:fill="FFFFFF"/>
            <w:noWrap/>
            <w:hideMark/>
          </w:tcPr>
          <w:p w14:paraId="2DD293A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Inventario de Síntomas de MD Anderson</w:t>
            </w:r>
          </w:p>
        </w:tc>
      </w:tr>
      <w:tr w:rsidR="002E4D99" w:rsidRPr="00367BEC" w14:paraId="46820440" w14:textId="77777777" w:rsidTr="00CF1C1E">
        <w:trPr>
          <w:trHeight w:val="20"/>
        </w:trPr>
        <w:tc>
          <w:tcPr>
            <w:tcW w:w="1480" w:type="dxa"/>
            <w:tcBorders>
              <w:top w:val="nil"/>
              <w:left w:val="nil"/>
              <w:bottom w:val="nil"/>
              <w:right w:val="nil"/>
            </w:tcBorders>
            <w:shd w:val="clear" w:color="000000" w:fill="FFFFFF"/>
            <w:noWrap/>
            <w:hideMark/>
          </w:tcPr>
          <w:p w14:paraId="15C51F8E"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153" w:type="dxa"/>
            <w:tcBorders>
              <w:top w:val="nil"/>
              <w:left w:val="nil"/>
              <w:bottom w:val="nil"/>
              <w:right w:val="nil"/>
            </w:tcBorders>
            <w:shd w:val="clear" w:color="000000" w:fill="FFFFFF"/>
            <w:noWrap/>
            <w:hideMark/>
          </w:tcPr>
          <w:p w14:paraId="46585A0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 la intensidad de los síntomas, de 0 = «ausentes» a 10 = «tan intensos como se puede imaginar»</w:t>
            </w:r>
          </w:p>
        </w:tc>
      </w:tr>
      <w:tr w:rsidR="002E4D99" w:rsidRPr="00367BEC" w14:paraId="763564A4" w14:textId="77777777" w:rsidTr="00CF1C1E">
        <w:trPr>
          <w:trHeight w:val="20"/>
        </w:trPr>
        <w:tc>
          <w:tcPr>
            <w:tcW w:w="1480" w:type="dxa"/>
            <w:tcBorders>
              <w:top w:val="nil"/>
              <w:left w:val="nil"/>
              <w:bottom w:val="single" w:sz="4" w:space="0" w:color="auto"/>
              <w:right w:val="nil"/>
            </w:tcBorders>
            <w:shd w:val="clear" w:color="000000" w:fill="FFFFFF"/>
            <w:noWrap/>
            <w:hideMark/>
          </w:tcPr>
          <w:p w14:paraId="04E9D8F4" w14:textId="77777777" w:rsidR="002E4D99" w:rsidRPr="00367BEC" w:rsidRDefault="002E4D99" w:rsidP="00CF1C1E">
            <w:pPr>
              <w:spacing w:after="0" w:line="240" w:lineRule="auto"/>
              <w:jc w:val="right"/>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153" w:type="dxa"/>
            <w:tcBorders>
              <w:top w:val="nil"/>
              <w:left w:val="nil"/>
              <w:bottom w:val="single" w:sz="4" w:space="0" w:color="auto"/>
              <w:right w:val="nil"/>
            </w:tcBorders>
            <w:shd w:val="clear" w:color="000000" w:fill="FFFFFF"/>
            <w:hideMark/>
          </w:tcPr>
          <w:p w14:paraId="1A34C9F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Puntuación de la interferencia asociada a los síntomas en las actividades diarias, de 0 = «sin interferencia» a 10 = «interferencia total»</w:t>
            </w:r>
          </w:p>
        </w:tc>
      </w:tr>
      <w:tr w:rsidR="002E4D99" w:rsidRPr="00367BEC" w14:paraId="6A135845" w14:textId="77777777" w:rsidTr="00CF1C1E">
        <w:trPr>
          <w:trHeight w:val="20"/>
        </w:trPr>
        <w:tc>
          <w:tcPr>
            <w:tcW w:w="1480" w:type="dxa"/>
            <w:tcBorders>
              <w:top w:val="nil"/>
              <w:left w:val="nil"/>
              <w:bottom w:val="nil"/>
              <w:right w:val="nil"/>
            </w:tcBorders>
            <w:shd w:val="clear" w:color="000000" w:fill="FFFFFF"/>
            <w:noWrap/>
            <w:hideMark/>
          </w:tcPr>
          <w:p w14:paraId="7962EC33" w14:textId="77777777" w:rsidR="002E4D99" w:rsidRPr="00367BEC" w:rsidRDefault="002E4D99" w:rsidP="00CF1C1E">
            <w:pPr>
              <w:spacing w:after="0" w:line="240" w:lineRule="auto"/>
              <w:jc w:val="right"/>
              <w:rPr>
                <w:rFonts w:ascii="Times New Roman" w:eastAsia="Times New Roman" w:hAnsi="Times New Roman" w:cs="Times New Roman"/>
                <w:b/>
                <w:bCs/>
                <w:color w:val="000000"/>
                <w:sz w:val="20"/>
                <w:szCs w:val="20"/>
              </w:rPr>
            </w:pPr>
            <w:r w:rsidRPr="00367BEC">
              <w:rPr>
                <w:rFonts w:ascii="Times New Roman" w:hAnsi="Times New Roman"/>
                <w:b/>
                <w:color w:val="000000"/>
                <w:sz w:val="20"/>
              </w:rPr>
              <w:t>NDI</w:t>
            </w:r>
          </w:p>
        </w:tc>
        <w:tc>
          <w:tcPr>
            <w:tcW w:w="10153" w:type="dxa"/>
            <w:tcBorders>
              <w:top w:val="nil"/>
              <w:left w:val="nil"/>
              <w:bottom w:val="nil"/>
              <w:right w:val="nil"/>
            </w:tcBorders>
            <w:shd w:val="clear" w:color="000000" w:fill="FFFFFF"/>
            <w:noWrap/>
            <w:hideMark/>
          </w:tcPr>
          <w:p w14:paraId="630C4DD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Índice de discapacidad cervical: puntuación de las limitaciones de la actividad asociadas al dolor, de 0 = «sin discapacidad» a 100 = «discapacidad total»</w:t>
            </w:r>
          </w:p>
        </w:tc>
      </w:tr>
    </w:tbl>
    <w:p w14:paraId="032E3220" w14:textId="77777777" w:rsidR="002E4D99" w:rsidRPr="00367BEC" w:rsidRDefault="002E4D99" w:rsidP="002E4D99">
      <w:pPr>
        <w:rPr>
          <w:rFonts w:ascii="Times New Roman" w:hAnsi="Times New Roman" w:cs="Times New Roman"/>
          <w:b/>
          <w:sz w:val="24"/>
          <w:szCs w:val="24"/>
        </w:rPr>
      </w:pPr>
    </w:p>
    <w:p w14:paraId="1E45AE0C" w14:textId="77777777" w:rsidR="002E4D99" w:rsidRPr="00367BEC" w:rsidRDefault="002E4D99" w:rsidP="002E4D99">
      <w:pPr>
        <w:rPr>
          <w:rFonts w:ascii="Times New Roman" w:hAnsi="Times New Roman" w:cs="Times New Roman"/>
          <w:b/>
          <w:sz w:val="24"/>
          <w:szCs w:val="24"/>
        </w:rPr>
      </w:pPr>
      <w:r w:rsidRPr="00367BEC">
        <w:lastRenderedPageBreak/>
        <w:br w:type="page"/>
      </w:r>
    </w:p>
    <w:p w14:paraId="7232D395"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12. </w:t>
      </w:r>
      <w:r w:rsidRPr="00367BEC">
        <w:rPr>
          <w:rFonts w:ascii="Times New Roman" w:hAnsi="Times New Roman"/>
        </w:rPr>
        <w:t>Resultados de función, discapacidad y otros parámetros en cada estudio</w:t>
      </w:r>
    </w:p>
    <w:p w14:paraId="22EBE814"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5032" w:type="pct"/>
        <w:tblCellMar>
          <w:left w:w="28" w:type="dxa"/>
          <w:right w:w="28" w:type="dxa"/>
        </w:tblCellMar>
        <w:tblLook w:val="04A0" w:firstRow="1" w:lastRow="0" w:firstColumn="1" w:lastColumn="0" w:noHBand="0" w:noVBand="1"/>
      </w:tblPr>
      <w:tblGrid>
        <w:gridCol w:w="1440"/>
        <w:gridCol w:w="1347"/>
        <w:gridCol w:w="3045"/>
        <w:gridCol w:w="588"/>
        <w:gridCol w:w="1203"/>
        <w:gridCol w:w="444"/>
        <w:gridCol w:w="1208"/>
        <w:gridCol w:w="874"/>
        <w:gridCol w:w="1265"/>
      </w:tblGrid>
      <w:tr w:rsidR="002E4D99" w:rsidRPr="00367BEC" w14:paraId="5545D844" w14:textId="77777777" w:rsidTr="00865510">
        <w:trPr>
          <w:trHeight w:val="283"/>
          <w:tblHeader/>
        </w:trPr>
        <w:tc>
          <w:tcPr>
            <w:tcW w:w="631" w:type="pct"/>
            <w:tcBorders>
              <w:top w:val="nil"/>
              <w:left w:val="nil"/>
              <w:bottom w:val="single" w:sz="8" w:space="0" w:color="auto"/>
              <w:right w:val="nil"/>
            </w:tcBorders>
            <w:shd w:val="clear" w:color="000000" w:fill="FFFFFF"/>
            <w:noWrap/>
            <w:vAlign w:val="center"/>
            <w:hideMark/>
          </w:tcPr>
          <w:p w14:paraId="4F32FEF0"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Referencia</w:t>
            </w:r>
          </w:p>
        </w:tc>
        <w:tc>
          <w:tcPr>
            <w:tcW w:w="590" w:type="pct"/>
            <w:tcBorders>
              <w:top w:val="nil"/>
              <w:left w:val="nil"/>
              <w:bottom w:val="single" w:sz="8" w:space="0" w:color="auto"/>
              <w:right w:val="nil"/>
            </w:tcBorders>
            <w:shd w:val="clear" w:color="000000" w:fill="FFFFFF"/>
            <w:noWrap/>
            <w:vAlign w:val="center"/>
            <w:hideMark/>
          </w:tcPr>
          <w:p w14:paraId="726B1573"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Cohorte</w:t>
            </w:r>
          </w:p>
        </w:tc>
        <w:tc>
          <w:tcPr>
            <w:tcW w:w="1334" w:type="pct"/>
            <w:tcBorders>
              <w:top w:val="nil"/>
              <w:left w:val="nil"/>
              <w:bottom w:val="single" w:sz="8" w:space="0" w:color="auto"/>
              <w:right w:val="nil"/>
            </w:tcBorders>
            <w:shd w:val="clear" w:color="000000" w:fill="FFFFFF"/>
            <w:noWrap/>
            <w:vAlign w:val="center"/>
            <w:hideMark/>
          </w:tcPr>
          <w:p w14:paraId="1122DBEF"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Prueba</w:t>
            </w:r>
          </w:p>
        </w:tc>
        <w:tc>
          <w:tcPr>
            <w:tcW w:w="785" w:type="pct"/>
            <w:gridSpan w:val="2"/>
            <w:tcBorders>
              <w:top w:val="nil"/>
              <w:left w:val="nil"/>
              <w:bottom w:val="single" w:sz="8" w:space="0" w:color="auto"/>
              <w:right w:val="nil"/>
            </w:tcBorders>
            <w:shd w:val="clear" w:color="000000" w:fill="FFFFFF"/>
            <w:noWrap/>
            <w:vAlign w:val="center"/>
            <w:hideMark/>
          </w:tcPr>
          <w:p w14:paraId="015C1CBF"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Inicio (puntuación)</w:t>
            </w:r>
          </w:p>
        </w:tc>
        <w:tc>
          <w:tcPr>
            <w:tcW w:w="723" w:type="pct"/>
            <w:gridSpan w:val="2"/>
            <w:tcBorders>
              <w:top w:val="nil"/>
              <w:left w:val="nil"/>
              <w:bottom w:val="single" w:sz="8" w:space="0" w:color="auto"/>
              <w:right w:val="nil"/>
            </w:tcBorders>
            <w:shd w:val="clear" w:color="000000" w:fill="FFFFFF"/>
            <w:noWrap/>
            <w:vAlign w:val="center"/>
            <w:hideMark/>
          </w:tcPr>
          <w:p w14:paraId="45C7725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Final (puntuación)</w:t>
            </w:r>
          </w:p>
        </w:tc>
        <w:tc>
          <w:tcPr>
            <w:tcW w:w="383" w:type="pct"/>
            <w:tcBorders>
              <w:top w:val="nil"/>
              <w:left w:val="nil"/>
              <w:bottom w:val="single" w:sz="8" w:space="0" w:color="auto"/>
              <w:right w:val="nil"/>
            </w:tcBorders>
            <w:shd w:val="clear" w:color="000000" w:fill="FFFFFF"/>
            <w:vAlign w:val="center"/>
            <w:hideMark/>
          </w:tcPr>
          <w:p w14:paraId="0F7AAB8F"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absoluto</w:t>
            </w:r>
          </w:p>
        </w:tc>
        <w:tc>
          <w:tcPr>
            <w:tcW w:w="554" w:type="pct"/>
            <w:tcBorders>
              <w:top w:val="nil"/>
              <w:left w:val="nil"/>
              <w:bottom w:val="single" w:sz="8" w:space="0" w:color="auto"/>
              <w:right w:val="nil"/>
            </w:tcBorders>
            <w:shd w:val="clear" w:color="000000" w:fill="FFFFFF"/>
            <w:vAlign w:val="center"/>
            <w:hideMark/>
          </w:tcPr>
          <w:p w14:paraId="7014491D"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relativo (%)</w:t>
            </w:r>
          </w:p>
        </w:tc>
      </w:tr>
      <w:tr w:rsidR="002E4D99" w:rsidRPr="00367BEC" w14:paraId="1B3035B5" w14:textId="77777777" w:rsidTr="00865510">
        <w:trPr>
          <w:trHeight w:val="20"/>
        </w:trPr>
        <w:tc>
          <w:tcPr>
            <w:tcW w:w="631" w:type="pct"/>
            <w:tcBorders>
              <w:top w:val="nil"/>
              <w:left w:val="nil"/>
              <w:bottom w:val="nil"/>
              <w:right w:val="nil"/>
            </w:tcBorders>
            <w:shd w:val="clear" w:color="000000" w:fill="FFFFFF"/>
            <w:noWrap/>
            <w:hideMark/>
          </w:tcPr>
          <w:p w14:paraId="738696E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Billeci</w:t>
            </w:r>
            <w:proofErr w:type="spellEnd"/>
            <w:r w:rsidRPr="00367BEC">
              <w:rPr>
                <w:rFonts w:ascii="Times New Roman" w:hAnsi="Times New Roman"/>
                <w:color w:val="000000"/>
                <w:sz w:val="20"/>
              </w:rPr>
              <w:t xml:space="preserve"> 2017</w:t>
            </w:r>
          </w:p>
        </w:tc>
        <w:tc>
          <w:tcPr>
            <w:tcW w:w="590" w:type="pct"/>
            <w:tcBorders>
              <w:top w:val="nil"/>
              <w:left w:val="nil"/>
              <w:bottom w:val="nil"/>
              <w:right w:val="nil"/>
            </w:tcBorders>
            <w:shd w:val="clear" w:color="000000" w:fill="FFFFFF"/>
            <w:noWrap/>
            <w:hideMark/>
          </w:tcPr>
          <w:p w14:paraId="0D58BC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334" w:type="pct"/>
            <w:tcBorders>
              <w:top w:val="nil"/>
              <w:left w:val="nil"/>
              <w:bottom w:val="nil"/>
              <w:right w:val="nil"/>
            </w:tcBorders>
            <w:shd w:val="clear" w:color="000000" w:fill="FFFFFF"/>
            <w:noWrap/>
            <w:hideMark/>
          </w:tcPr>
          <w:p w14:paraId="20572D6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PSI EVN-11</w:t>
            </w:r>
          </w:p>
        </w:tc>
        <w:tc>
          <w:tcPr>
            <w:tcW w:w="258" w:type="pct"/>
            <w:tcBorders>
              <w:top w:val="nil"/>
              <w:left w:val="nil"/>
              <w:bottom w:val="nil"/>
              <w:right w:val="nil"/>
            </w:tcBorders>
            <w:shd w:val="clear" w:color="000000" w:fill="FFFFFF"/>
            <w:noWrap/>
            <w:hideMark/>
          </w:tcPr>
          <w:p w14:paraId="4B7657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6,4</w:t>
            </w:r>
          </w:p>
        </w:tc>
        <w:tc>
          <w:tcPr>
            <w:tcW w:w="527" w:type="pct"/>
            <w:tcBorders>
              <w:top w:val="nil"/>
              <w:left w:val="nil"/>
              <w:bottom w:val="nil"/>
              <w:right w:val="nil"/>
            </w:tcBorders>
            <w:shd w:val="clear" w:color="000000" w:fill="FFFFFF"/>
            <w:noWrap/>
            <w:hideMark/>
          </w:tcPr>
          <w:p w14:paraId="15FC775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w:t>
            </w:r>
          </w:p>
        </w:tc>
        <w:tc>
          <w:tcPr>
            <w:tcW w:w="194" w:type="pct"/>
            <w:tcBorders>
              <w:top w:val="nil"/>
              <w:left w:val="nil"/>
              <w:bottom w:val="nil"/>
              <w:right w:val="nil"/>
            </w:tcBorders>
            <w:shd w:val="clear" w:color="000000" w:fill="FFFFFF"/>
            <w:noWrap/>
            <w:hideMark/>
          </w:tcPr>
          <w:p w14:paraId="117A9AA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w:t>
            </w:r>
          </w:p>
        </w:tc>
        <w:tc>
          <w:tcPr>
            <w:tcW w:w="529" w:type="pct"/>
            <w:tcBorders>
              <w:top w:val="nil"/>
              <w:left w:val="nil"/>
              <w:bottom w:val="nil"/>
              <w:right w:val="nil"/>
            </w:tcBorders>
            <w:shd w:val="clear" w:color="000000" w:fill="FFFFFF"/>
            <w:noWrap/>
            <w:hideMark/>
          </w:tcPr>
          <w:p w14:paraId="278B90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(2,7)</w:t>
            </w:r>
          </w:p>
        </w:tc>
        <w:tc>
          <w:tcPr>
            <w:tcW w:w="383" w:type="pct"/>
            <w:tcBorders>
              <w:top w:val="nil"/>
              <w:left w:val="nil"/>
              <w:bottom w:val="nil"/>
              <w:right w:val="nil"/>
            </w:tcBorders>
            <w:shd w:val="clear" w:color="000000" w:fill="FFFFFF"/>
            <w:noWrap/>
            <w:hideMark/>
          </w:tcPr>
          <w:p w14:paraId="303608B5"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−4,5</w:t>
            </w:r>
          </w:p>
        </w:tc>
        <w:tc>
          <w:tcPr>
            <w:tcW w:w="554" w:type="pct"/>
            <w:tcBorders>
              <w:top w:val="nil"/>
              <w:left w:val="nil"/>
              <w:bottom w:val="nil"/>
              <w:right w:val="nil"/>
            </w:tcBorders>
            <w:shd w:val="clear" w:color="000000" w:fill="FFFFFF"/>
            <w:noWrap/>
            <w:hideMark/>
          </w:tcPr>
          <w:p w14:paraId="23F8CF2A"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−70,3</w:t>
            </w:r>
            <w:r w:rsidRPr="00367BEC">
              <w:rPr>
                <w:rFonts w:ascii="Times New Roman" w:hAnsi="Times New Roman"/>
                <w:b/>
                <w:color w:val="000000"/>
                <w:sz w:val="20"/>
                <w:vertAlign w:val="superscript"/>
              </w:rPr>
              <w:t>ii</w:t>
            </w:r>
          </w:p>
        </w:tc>
      </w:tr>
      <w:tr w:rsidR="002E4D99" w:rsidRPr="00367BEC" w14:paraId="420D28C2" w14:textId="77777777" w:rsidTr="00865510">
        <w:trPr>
          <w:trHeight w:val="20"/>
        </w:trPr>
        <w:tc>
          <w:tcPr>
            <w:tcW w:w="631" w:type="pct"/>
            <w:tcBorders>
              <w:top w:val="nil"/>
              <w:left w:val="nil"/>
              <w:bottom w:val="nil"/>
              <w:right w:val="nil"/>
            </w:tcBorders>
            <w:shd w:val="clear" w:color="000000" w:fill="FFFFFF"/>
            <w:noWrap/>
            <w:hideMark/>
          </w:tcPr>
          <w:p w14:paraId="2389241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5F3B51B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01B9AF0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NDI</w:t>
            </w:r>
          </w:p>
        </w:tc>
        <w:tc>
          <w:tcPr>
            <w:tcW w:w="258" w:type="pct"/>
            <w:tcBorders>
              <w:top w:val="nil"/>
              <w:left w:val="nil"/>
              <w:bottom w:val="nil"/>
              <w:right w:val="nil"/>
            </w:tcBorders>
            <w:shd w:val="clear" w:color="000000" w:fill="FFFFFF"/>
            <w:noWrap/>
            <w:hideMark/>
          </w:tcPr>
          <w:p w14:paraId="4B7C23B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55,6</w:t>
            </w:r>
          </w:p>
        </w:tc>
        <w:tc>
          <w:tcPr>
            <w:tcW w:w="527" w:type="pct"/>
            <w:tcBorders>
              <w:top w:val="nil"/>
              <w:left w:val="nil"/>
              <w:bottom w:val="nil"/>
              <w:right w:val="nil"/>
            </w:tcBorders>
            <w:shd w:val="clear" w:color="000000" w:fill="FFFFFF"/>
            <w:noWrap/>
            <w:hideMark/>
          </w:tcPr>
          <w:p w14:paraId="7473EA1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(18,6)</w:t>
            </w:r>
          </w:p>
        </w:tc>
        <w:tc>
          <w:tcPr>
            <w:tcW w:w="194" w:type="pct"/>
            <w:tcBorders>
              <w:top w:val="nil"/>
              <w:left w:val="nil"/>
              <w:bottom w:val="nil"/>
              <w:right w:val="nil"/>
            </w:tcBorders>
            <w:shd w:val="clear" w:color="000000" w:fill="FFFFFF"/>
            <w:noWrap/>
            <w:hideMark/>
          </w:tcPr>
          <w:p w14:paraId="1DE882C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19,7</w:t>
            </w:r>
          </w:p>
        </w:tc>
        <w:tc>
          <w:tcPr>
            <w:tcW w:w="529" w:type="pct"/>
            <w:tcBorders>
              <w:top w:val="nil"/>
              <w:left w:val="nil"/>
              <w:bottom w:val="nil"/>
              <w:right w:val="nil"/>
            </w:tcBorders>
            <w:shd w:val="clear" w:color="000000" w:fill="FFFFFF"/>
            <w:noWrap/>
            <w:hideMark/>
          </w:tcPr>
          <w:p w14:paraId="7BEE8B1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(20,9)</w:t>
            </w:r>
          </w:p>
        </w:tc>
        <w:tc>
          <w:tcPr>
            <w:tcW w:w="383" w:type="pct"/>
            <w:tcBorders>
              <w:top w:val="nil"/>
              <w:left w:val="nil"/>
              <w:bottom w:val="nil"/>
              <w:right w:val="nil"/>
            </w:tcBorders>
            <w:shd w:val="clear" w:color="000000" w:fill="FFFFFF"/>
            <w:noWrap/>
            <w:hideMark/>
          </w:tcPr>
          <w:p w14:paraId="095C1B40"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−35,9</w:t>
            </w:r>
          </w:p>
        </w:tc>
        <w:tc>
          <w:tcPr>
            <w:tcW w:w="554" w:type="pct"/>
            <w:tcBorders>
              <w:top w:val="nil"/>
              <w:left w:val="nil"/>
              <w:bottom w:val="nil"/>
              <w:right w:val="nil"/>
            </w:tcBorders>
            <w:shd w:val="clear" w:color="000000" w:fill="FFFFFF"/>
            <w:noWrap/>
            <w:hideMark/>
          </w:tcPr>
          <w:p w14:paraId="2D8E2AD0"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−64,6</w:t>
            </w:r>
            <w:r w:rsidRPr="00367BEC">
              <w:rPr>
                <w:rFonts w:ascii="Times New Roman" w:hAnsi="Times New Roman"/>
                <w:b/>
                <w:color w:val="000000"/>
                <w:sz w:val="20"/>
                <w:vertAlign w:val="superscript"/>
              </w:rPr>
              <w:t>iii</w:t>
            </w:r>
          </w:p>
        </w:tc>
      </w:tr>
      <w:tr w:rsidR="002E4D99" w:rsidRPr="00367BEC" w14:paraId="62418F76" w14:textId="77777777" w:rsidTr="00865510">
        <w:trPr>
          <w:trHeight w:val="20"/>
        </w:trPr>
        <w:tc>
          <w:tcPr>
            <w:tcW w:w="631" w:type="pct"/>
            <w:tcBorders>
              <w:top w:val="nil"/>
              <w:left w:val="nil"/>
              <w:bottom w:val="nil"/>
              <w:right w:val="nil"/>
            </w:tcBorders>
            <w:shd w:val="clear" w:color="000000" w:fill="FFFFFF"/>
            <w:noWrap/>
            <w:hideMark/>
          </w:tcPr>
          <w:p w14:paraId="0DE160F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1A527A7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6930F5AE" w14:textId="167BA32B" w:rsidR="002E4D99" w:rsidRPr="00367BEC" w:rsidRDefault="00E367C8" w:rsidP="00CF1C1E">
            <w:pPr>
              <w:spacing w:after="0" w:line="240" w:lineRule="auto"/>
              <w:rPr>
                <w:rFonts w:ascii="Times New Roman" w:eastAsia="Times New Roman" w:hAnsi="Times New Roman" w:cs="Times New Roman"/>
                <w:color w:val="000000"/>
                <w:sz w:val="20"/>
                <w:szCs w:val="20"/>
              </w:rPr>
            </w:pPr>
            <w:proofErr w:type="spellStart"/>
            <w:r>
              <w:rPr>
                <w:rFonts w:ascii="Times New Roman" w:hAnsi="Times New Roman"/>
                <w:color w:val="000000"/>
                <w:sz w:val="20"/>
              </w:rPr>
              <w:t>R</w:t>
            </w:r>
            <w:r w:rsidRPr="00367BEC">
              <w:rPr>
                <w:rFonts w:ascii="Times New Roman" w:hAnsi="Times New Roman"/>
                <w:color w:val="000000"/>
                <w:sz w:val="20"/>
              </w:rPr>
              <w:t>dM</w:t>
            </w:r>
            <w:proofErr w:type="spellEnd"/>
            <w:r w:rsidRPr="00367BEC">
              <w:rPr>
                <w:rFonts w:ascii="Times New Roman" w:hAnsi="Times New Roman"/>
                <w:color w:val="000000"/>
                <w:sz w:val="20"/>
              </w:rPr>
              <w:t xml:space="preserve"> </w:t>
            </w:r>
            <w:r>
              <w:rPr>
                <w:rFonts w:ascii="Times New Roman" w:hAnsi="Times New Roman"/>
                <w:color w:val="000000"/>
                <w:sz w:val="20"/>
              </w:rPr>
              <w:t xml:space="preserve">F </w:t>
            </w:r>
            <w:r w:rsidR="002E4D99" w:rsidRPr="00367BEC">
              <w:rPr>
                <w:rFonts w:ascii="Times New Roman" w:hAnsi="Times New Roman"/>
                <w:color w:val="000000"/>
                <w:sz w:val="20"/>
              </w:rPr>
              <w:t>(</w:t>
            </w:r>
            <w:r>
              <w:rPr>
                <w:rFonts w:ascii="Times New Roman" w:hAnsi="Times New Roman"/>
                <w:color w:val="000000"/>
                <w:sz w:val="20"/>
              </w:rPr>
              <w:t>grados</w:t>
            </w:r>
            <w:r w:rsidR="002E4D99"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164DF4D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31,9</w:t>
            </w:r>
          </w:p>
        </w:tc>
        <w:tc>
          <w:tcPr>
            <w:tcW w:w="527" w:type="pct"/>
            <w:tcBorders>
              <w:top w:val="nil"/>
              <w:left w:val="nil"/>
              <w:bottom w:val="nil"/>
              <w:right w:val="nil"/>
            </w:tcBorders>
            <w:shd w:val="clear" w:color="000000" w:fill="FFFFFF"/>
            <w:noWrap/>
            <w:hideMark/>
          </w:tcPr>
          <w:p w14:paraId="47B7CE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(10,0)</w:t>
            </w:r>
          </w:p>
        </w:tc>
        <w:tc>
          <w:tcPr>
            <w:tcW w:w="194" w:type="pct"/>
            <w:tcBorders>
              <w:top w:val="nil"/>
              <w:left w:val="nil"/>
              <w:bottom w:val="nil"/>
              <w:right w:val="nil"/>
            </w:tcBorders>
            <w:shd w:val="clear" w:color="000000" w:fill="FFFFFF"/>
            <w:noWrap/>
            <w:hideMark/>
          </w:tcPr>
          <w:p w14:paraId="717EB22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37,9</w:t>
            </w:r>
          </w:p>
        </w:tc>
        <w:tc>
          <w:tcPr>
            <w:tcW w:w="529" w:type="pct"/>
            <w:tcBorders>
              <w:top w:val="nil"/>
              <w:left w:val="nil"/>
              <w:bottom w:val="nil"/>
              <w:right w:val="nil"/>
            </w:tcBorders>
            <w:shd w:val="clear" w:color="000000" w:fill="FFFFFF"/>
            <w:noWrap/>
            <w:hideMark/>
          </w:tcPr>
          <w:p w14:paraId="24848C4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(9,3)</w:t>
            </w:r>
          </w:p>
        </w:tc>
        <w:tc>
          <w:tcPr>
            <w:tcW w:w="383" w:type="pct"/>
            <w:tcBorders>
              <w:top w:val="nil"/>
              <w:left w:val="nil"/>
              <w:bottom w:val="nil"/>
              <w:right w:val="nil"/>
            </w:tcBorders>
            <w:shd w:val="clear" w:color="000000" w:fill="FFFFFF"/>
            <w:noWrap/>
            <w:hideMark/>
          </w:tcPr>
          <w:p w14:paraId="0C0770F8"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6,0</w:t>
            </w:r>
          </w:p>
        </w:tc>
        <w:tc>
          <w:tcPr>
            <w:tcW w:w="554" w:type="pct"/>
            <w:tcBorders>
              <w:top w:val="nil"/>
              <w:left w:val="nil"/>
              <w:bottom w:val="nil"/>
              <w:right w:val="nil"/>
            </w:tcBorders>
            <w:shd w:val="clear" w:color="000000" w:fill="FFFFFF"/>
            <w:noWrap/>
            <w:hideMark/>
          </w:tcPr>
          <w:p w14:paraId="14858B6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18,8</w:t>
            </w:r>
            <w:r w:rsidRPr="00367BEC">
              <w:rPr>
                <w:rFonts w:ascii="Times New Roman" w:hAnsi="Times New Roman"/>
                <w:b/>
                <w:color w:val="000000"/>
                <w:sz w:val="20"/>
                <w:vertAlign w:val="superscript"/>
              </w:rPr>
              <w:t>ii</w:t>
            </w:r>
          </w:p>
        </w:tc>
      </w:tr>
      <w:tr w:rsidR="002E4D99" w:rsidRPr="00367BEC" w14:paraId="1DDB8941" w14:textId="77777777" w:rsidTr="00865510">
        <w:trPr>
          <w:trHeight w:val="20"/>
        </w:trPr>
        <w:tc>
          <w:tcPr>
            <w:tcW w:w="631" w:type="pct"/>
            <w:tcBorders>
              <w:top w:val="nil"/>
              <w:left w:val="nil"/>
              <w:bottom w:val="nil"/>
              <w:right w:val="nil"/>
            </w:tcBorders>
            <w:shd w:val="clear" w:color="000000" w:fill="FFFFFF"/>
            <w:noWrap/>
            <w:hideMark/>
          </w:tcPr>
          <w:p w14:paraId="08297FA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3B13F9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085A3B32" w14:textId="47CE6FC8" w:rsidR="002E4D99" w:rsidRPr="00367BEC" w:rsidRDefault="00E367C8" w:rsidP="00CF1C1E">
            <w:pPr>
              <w:spacing w:after="0" w:line="240" w:lineRule="auto"/>
              <w:rPr>
                <w:rFonts w:ascii="Times New Roman" w:eastAsia="Times New Roman" w:hAnsi="Times New Roman" w:cs="Times New Roman"/>
                <w:color w:val="000000"/>
                <w:sz w:val="20"/>
                <w:szCs w:val="20"/>
              </w:rPr>
            </w:pPr>
            <w:proofErr w:type="spellStart"/>
            <w:r>
              <w:rPr>
                <w:rFonts w:ascii="Times New Roman" w:hAnsi="Times New Roman"/>
                <w:color w:val="000000"/>
                <w:sz w:val="20"/>
              </w:rPr>
              <w:t>R</w:t>
            </w:r>
            <w:r w:rsidRPr="00367BEC">
              <w:rPr>
                <w:rFonts w:ascii="Times New Roman" w:hAnsi="Times New Roman"/>
                <w:color w:val="000000"/>
                <w:sz w:val="20"/>
              </w:rPr>
              <w:t>dM</w:t>
            </w:r>
            <w:proofErr w:type="spellEnd"/>
            <w:r w:rsidRPr="00367BEC">
              <w:rPr>
                <w:rFonts w:ascii="Times New Roman" w:hAnsi="Times New Roman"/>
                <w:color w:val="000000"/>
                <w:sz w:val="20"/>
              </w:rPr>
              <w:t xml:space="preserve"> </w:t>
            </w:r>
            <w:r>
              <w:rPr>
                <w:rFonts w:ascii="Times New Roman" w:hAnsi="Times New Roman"/>
                <w:color w:val="000000"/>
                <w:sz w:val="20"/>
              </w:rPr>
              <w:t xml:space="preserve">E </w:t>
            </w:r>
            <w:r w:rsidR="002E4D99" w:rsidRPr="00367BEC">
              <w:rPr>
                <w:rFonts w:ascii="Times New Roman" w:hAnsi="Times New Roman"/>
                <w:color w:val="000000"/>
                <w:sz w:val="20"/>
              </w:rPr>
              <w:t>(</w:t>
            </w:r>
            <w:r>
              <w:rPr>
                <w:rFonts w:ascii="Times New Roman" w:hAnsi="Times New Roman"/>
                <w:color w:val="000000"/>
                <w:sz w:val="20"/>
              </w:rPr>
              <w:t>grados</w:t>
            </w:r>
            <w:r w:rsidR="002E4D99"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089DA8E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24,8</w:t>
            </w:r>
          </w:p>
        </w:tc>
        <w:tc>
          <w:tcPr>
            <w:tcW w:w="527" w:type="pct"/>
            <w:tcBorders>
              <w:top w:val="nil"/>
              <w:left w:val="nil"/>
              <w:bottom w:val="nil"/>
              <w:right w:val="nil"/>
            </w:tcBorders>
            <w:shd w:val="clear" w:color="000000" w:fill="FFFFFF"/>
            <w:noWrap/>
            <w:hideMark/>
          </w:tcPr>
          <w:p w14:paraId="2364B70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(11,0)</w:t>
            </w:r>
          </w:p>
        </w:tc>
        <w:tc>
          <w:tcPr>
            <w:tcW w:w="194" w:type="pct"/>
            <w:tcBorders>
              <w:top w:val="nil"/>
              <w:left w:val="nil"/>
              <w:bottom w:val="nil"/>
              <w:right w:val="nil"/>
            </w:tcBorders>
            <w:shd w:val="clear" w:color="000000" w:fill="FFFFFF"/>
            <w:noWrap/>
            <w:hideMark/>
          </w:tcPr>
          <w:p w14:paraId="69CE419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37,0</w:t>
            </w:r>
          </w:p>
        </w:tc>
        <w:tc>
          <w:tcPr>
            <w:tcW w:w="529" w:type="pct"/>
            <w:tcBorders>
              <w:top w:val="nil"/>
              <w:left w:val="nil"/>
              <w:bottom w:val="nil"/>
              <w:right w:val="nil"/>
            </w:tcBorders>
            <w:shd w:val="clear" w:color="000000" w:fill="FFFFFF"/>
            <w:noWrap/>
            <w:hideMark/>
          </w:tcPr>
          <w:p w14:paraId="28B7F51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(9,4)</w:t>
            </w:r>
          </w:p>
        </w:tc>
        <w:tc>
          <w:tcPr>
            <w:tcW w:w="383" w:type="pct"/>
            <w:tcBorders>
              <w:top w:val="nil"/>
              <w:left w:val="nil"/>
              <w:bottom w:val="nil"/>
              <w:right w:val="nil"/>
            </w:tcBorders>
            <w:shd w:val="clear" w:color="000000" w:fill="FFFFFF"/>
            <w:noWrap/>
            <w:hideMark/>
          </w:tcPr>
          <w:p w14:paraId="3442FB2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12,2</w:t>
            </w:r>
          </w:p>
        </w:tc>
        <w:tc>
          <w:tcPr>
            <w:tcW w:w="554" w:type="pct"/>
            <w:tcBorders>
              <w:top w:val="nil"/>
              <w:left w:val="nil"/>
              <w:bottom w:val="nil"/>
              <w:right w:val="nil"/>
            </w:tcBorders>
            <w:shd w:val="clear" w:color="000000" w:fill="FFFFFF"/>
            <w:noWrap/>
            <w:hideMark/>
          </w:tcPr>
          <w:p w14:paraId="08AADC8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49,2</w:t>
            </w:r>
            <w:r w:rsidRPr="00367BEC">
              <w:rPr>
                <w:rFonts w:ascii="Times New Roman" w:hAnsi="Times New Roman"/>
                <w:b/>
                <w:color w:val="000000"/>
                <w:sz w:val="20"/>
                <w:vertAlign w:val="superscript"/>
              </w:rPr>
              <w:t>ii</w:t>
            </w:r>
          </w:p>
        </w:tc>
      </w:tr>
      <w:tr w:rsidR="002E4D99" w:rsidRPr="00367BEC" w14:paraId="4FCBA372" w14:textId="77777777" w:rsidTr="00865510">
        <w:trPr>
          <w:trHeight w:val="20"/>
        </w:trPr>
        <w:tc>
          <w:tcPr>
            <w:tcW w:w="631" w:type="pct"/>
            <w:tcBorders>
              <w:top w:val="nil"/>
              <w:left w:val="nil"/>
              <w:bottom w:val="nil"/>
              <w:right w:val="nil"/>
            </w:tcBorders>
            <w:shd w:val="clear" w:color="000000" w:fill="FFFFFF"/>
            <w:noWrap/>
            <w:hideMark/>
          </w:tcPr>
          <w:p w14:paraId="0A2D44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05A5E95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48F5010D" w14:textId="4D4802F1" w:rsidR="002E4D99" w:rsidRPr="00367BEC" w:rsidRDefault="00E367C8" w:rsidP="00CF1C1E">
            <w:pPr>
              <w:spacing w:after="0" w:line="240" w:lineRule="auto"/>
              <w:rPr>
                <w:rFonts w:ascii="Times New Roman" w:eastAsia="Times New Roman" w:hAnsi="Times New Roman" w:cs="Times New Roman"/>
                <w:color w:val="000000"/>
                <w:sz w:val="20"/>
                <w:szCs w:val="20"/>
              </w:rPr>
            </w:pPr>
            <w:proofErr w:type="spellStart"/>
            <w:r>
              <w:rPr>
                <w:rFonts w:ascii="Times New Roman" w:hAnsi="Times New Roman"/>
                <w:color w:val="000000"/>
                <w:sz w:val="20"/>
              </w:rPr>
              <w:t>R</w:t>
            </w:r>
            <w:r w:rsidRPr="00367BEC">
              <w:rPr>
                <w:rFonts w:ascii="Times New Roman" w:hAnsi="Times New Roman"/>
                <w:color w:val="000000"/>
                <w:sz w:val="20"/>
              </w:rPr>
              <w:t>dM</w:t>
            </w:r>
            <w:proofErr w:type="spellEnd"/>
            <w:r w:rsidRPr="00367BEC">
              <w:rPr>
                <w:rFonts w:ascii="Times New Roman" w:hAnsi="Times New Roman"/>
                <w:color w:val="000000"/>
                <w:sz w:val="20"/>
              </w:rPr>
              <w:t xml:space="preserve"> </w:t>
            </w:r>
            <w:r>
              <w:rPr>
                <w:rFonts w:ascii="Times New Roman" w:hAnsi="Times New Roman"/>
                <w:color w:val="000000"/>
                <w:sz w:val="20"/>
              </w:rPr>
              <w:t xml:space="preserve">FLD </w:t>
            </w:r>
            <w:r w:rsidR="002E4D99" w:rsidRPr="00367BEC">
              <w:rPr>
                <w:rFonts w:ascii="Times New Roman" w:hAnsi="Times New Roman"/>
                <w:color w:val="000000"/>
                <w:sz w:val="20"/>
              </w:rPr>
              <w:t>(</w:t>
            </w:r>
            <w:r>
              <w:rPr>
                <w:rFonts w:ascii="Times New Roman" w:hAnsi="Times New Roman"/>
                <w:color w:val="000000"/>
                <w:sz w:val="20"/>
              </w:rPr>
              <w:t>grados</w:t>
            </w:r>
            <w:r w:rsidR="002E4D99"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7A3618C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20,4</w:t>
            </w:r>
          </w:p>
        </w:tc>
        <w:tc>
          <w:tcPr>
            <w:tcW w:w="527" w:type="pct"/>
            <w:tcBorders>
              <w:top w:val="nil"/>
              <w:left w:val="nil"/>
              <w:bottom w:val="nil"/>
              <w:right w:val="nil"/>
            </w:tcBorders>
            <w:shd w:val="clear" w:color="000000" w:fill="FFFFFF"/>
            <w:noWrap/>
            <w:hideMark/>
          </w:tcPr>
          <w:p w14:paraId="086167F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(9,7)</w:t>
            </w:r>
          </w:p>
        </w:tc>
        <w:tc>
          <w:tcPr>
            <w:tcW w:w="194" w:type="pct"/>
            <w:tcBorders>
              <w:top w:val="nil"/>
              <w:left w:val="nil"/>
              <w:bottom w:val="nil"/>
              <w:right w:val="nil"/>
            </w:tcBorders>
            <w:shd w:val="clear" w:color="000000" w:fill="FFFFFF"/>
            <w:noWrap/>
            <w:hideMark/>
          </w:tcPr>
          <w:p w14:paraId="1BDDD79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36,0</w:t>
            </w:r>
          </w:p>
        </w:tc>
        <w:tc>
          <w:tcPr>
            <w:tcW w:w="529" w:type="pct"/>
            <w:tcBorders>
              <w:top w:val="nil"/>
              <w:left w:val="nil"/>
              <w:bottom w:val="nil"/>
              <w:right w:val="nil"/>
            </w:tcBorders>
            <w:shd w:val="clear" w:color="000000" w:fill="FFFFFF"/>
            <w:noWrap/>
            <w:hideMark/>
          </w:tcPr>
          <w:p w14:paraId="28A41DB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(6,7)</w:t>
            </w:r>
          </w:p>
        </w:tc>
        <w:tc>
          <w:tcPr>
            <w:tcW w:w="383" w:type="pct"/>
            <w:tcBorders>
              <w:top w:val="nil"/>
              <w:left w:val="nil"/>
              <w:bottom w:val="nil"/>
              <w:right w:val="nil"/>
            </w:tcBorders>
            <w:shd w:val="clear" w:color="000000" w:fill="FFFFFF"/>
            <w:noWrap/>
            <w:hideMark/>
          </w:tcPr>
          <w:p w14:paraId="3B158E63"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15,6</w:t>
            </w:r>
          </w:p>
        </w:tc>
        <w:tc>
          <w:tcPr>
            <w:tcW w:w="554" w:type="pct"/>
            <w:tcBorders>
              <w:top w:val="nil"/>
              <w:left w:val="nil"/>
              <w:bottom w:val="nil"/>
              <w:right w:val="nil"/>
            </w:tcBorders>
            <w:shd w:val="clear" w:color="000000" w:fill="FFFFFF"/>
            <w:noWrap/>
            <w:hideMark/>
          </w:tcPr>
          <w:p w14:paraId="450444A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76,5</w:t>
            </w:r>
            <w:r w:rsidRPr="00367BEC">
              <w:rPr>
                <w:rFonts w:ascii="Times New Roman" w:hAnsi="Times New Roman"/>
                <w:b/>
                <w:color w:val="000000"/>
                <w:sz w:val="20"/>
                <w:vertAlign w:val="superscript"/>
              </w:rPr>
              <w:t>ii</w:t>
            </w:r>
          </w:p>
        </w:tc>
      </w:tr>
      <w:tr w:rsidR="002E4D99" w:rsidRPr="00367BEC" w14:paraId="322AD05E" w14:textId="77777777" w:rsidTr="00865510">
        <w:trPr>
          <w:trHeight w:val="20"/>
        </w:trPr>
        <w:tc>
          <w:tcPr>
            <w:tcW w:w="631" w:type="pct"/>
            <w:tcBorders>
              <w:top w:val="nil"/>
              <w:left w:val="nil"/>
              <w:bottom w:val="nil"/>
              <w:right w:val="nil"/>
            </w:tcBorders>
            <w:shd w:val="clear" w:color="000000" w:fill="FFFFFF"/>
            <w:noWrap/>
            <w:hideMark/>
          </w:tcPr>
          <w:p w14:paraId="524A3D4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051CD59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3E3A8F58" w14:textId="3B1D6727" w:rsidR="002E4D99" w:rsidRPr="00367BEC" w:rsidRDefault="00E367C8" w:rsidP="00CF1C1E">
            <w:pPr>
              <w:spacing w:after="0" w:line="240" w:lineRule="auto"/>
              <w:rPr>
                <w:rFonts w:ascii="Times New Roman" w:eastAsia="Times New Roman" w:hAnsi="Times New Roman" w:cs="Times New Roman"/>
                <w:color w:val="000000"/>
                <w:sz w:val="20"/>
                <w:szCs w:val="20"/>
              </w:rPr>
            </w:pPr>
            <w:proofErr w:type="spellStart"/>
            <w:r>
              <w:rPr>
                <w:rFonts w:ascii="Times New Roman" w:hAnsi="Times New Roman"/>
                <w:color w:val="000000"/>
                <w:sz w:val="20"/>
              </w:rPr>
              <w:t>R</w:t>
            </w:r>
            <w:r w:rsidRPr="00367BEC">
              <w:rPr>
                <w:rFonts w:ascii="Times New Roman" w:hAnsi="Times New Roman"/>
                <w:color w:val="000000"/>
                <w:sz w:val="20"/>
              </w:rPr>
              <w:t>dM</w:t>
            </w:r>
            <w:proofErr w:type="spellEnd"/>
            <w:r w:rsidRPr="00367BEC">
              <w:rPr>
                <w:rFonts w:ascii="Times New Roman" w:hAnsi="Times New Roman"/>
                <w:color w:val="000000"/>
                <w:sz w:val="20"/>
              </w:rPr>
              <w:t xml:space="preserve"> </w:t>
            </w:r>
            <w:r>
              <w:rPr>
                <w:rFonts w:ascii="Times New Roman" w:hAnsi="Times New Roman"/>
                <w:color w:val="000000"/>
                <w:sz w:val="20"/>
              </w:rPr>
              <w:t xml:space="preserve">FLI </w:t>
            </w:r>
            <w:r w:rsidR="002E4D99" w:rsidRPr="00367BEC">
              <w:rPr>
                <w:rFonts w:ascii="Times New Roman" w:hAnsi="Times New Roman"/>
                <w:color w:val="000000"/>
                <w:sz w:val="20"/>
              </w:rPr>
              <w:t>(</w:t>
            </w:r>
            <w:r>
              <w:rPr>
                <w:rFonts w:ascii="Times New Roman" w:hAnsi="Times New Roman"/>
                <w:color w:val="000000"/>
                <w:sz w:val="20"/>
              </w:rPr>
              <w:t>grados</w:t>
            </w:r>
            <w:r w:rsidR="002E4D99"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6799F11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19,9</w:t>
            </w:r>
          </w:p>
        </w:tc>
        <w:tc>
          <w:tcPr>
            <w:tcW w:w="527" w:type="pct"/>
            <w:tcBorders>
              <w:top w:val="nil"/>
              <w:left w:val="nil"/>
              <w:bottom w:val="nil"/>
              <w:right w:val="nil"/>
            </w:tcBorders>
            <w:shd w:val="clear" w:color="000000" w:fill="FFFFFF"/>
            <w:noWrap/>
            <w:hideMark/>
          </w:tcPr>
          <w:p w14:paraId="17C3F70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(9,2)</w:t>
            </w:r>
          </w:p>
        </w:tc>
        <w:tc>
          <w:tcPr>
            <w:tcW w:w="194" w:type="pct"/>
            <w:tcBorders>
              <w:top w:val="nil"/>
              <w:left w:val="nil"/>
              <w:bottom w:val="nil"/>
              <w:right w:val="nil"/>
            </w:tcBorders>
            <w:shd w:val="clear" w:color="000000" w:fill="FFFFFF"/>
            <w:noWrap/>
            <w:hideMark/>
          </w:tcPr>
          <w:p w14:paraId="53E957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35,8</w:t>
            </w:r>
          </w:p>
        </w:tc>
        <w:tc>
          <w:tcPr>
            <w:tcW w:w="529" w:type="pct"/>
            <w:tcBorders>
              <w:top w:val="nil"/>
              <w:left w:val="nil"/>
              <w:bottom w:val="nil"/>
              <w:right w:val="nil"/>
            </w:tcBorders>
            <w:shd w:val="clear" w:color="000000" w:fill="FFFFFF"/>
            <w:noWrap/>
            <w:hideMark/>
          </w:tcPr>
          <w:p w14:paraId="39CD040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(6,7)</w:t>
            </w:r>
          </w:p>
        </w:tc>
        <w:tc>
          <w:tcPr>
            <w:tcW w:w="383" w:type="pct"/>
            <w:tcBorders>
              <w:top w:val="nil"/>
              <w:left w:val="nil"/>
              <w:bottom w:val="nil"/>
              <w:right w:val="nil"/>
            </w:tcBorders>
            <w:shd w:val="clear" w:color="000000" w:fill="FFFFFF"/>
            <w:noWrap/>
            <w:hideMark/>
          </w:tcPr>
          <w:p w14:paraId="091FBF22"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15,9</w:t>
            </w:r>
          </w:p>
        </w:tc>
        <w:tc>
          <w:tcPr>
            <w:tcW w:w="554" w:type="pct"/>
            <w:tcBorders>
              <w:top w:val="nil"/>
              <w:left w:val="nil"/>
              <w:bottom w:val="nil"/>
              <w:right w:val="nil"/>
            </w:tcBorders>
            <w:shd w:val="clear" w:color="000000" w:fill="FFFFFF"/>
            <w:noWrap/>
            <w:hideMark/>
          </w:tcPr>
          <w:p w14:paraId="21F43F3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79,9</w:t>
            </w:r>
            <w:r w:rsidRPr="00367BEC">
              <w:rPr>
                <w:rFonts w:ascii="Times New Roman" w:hAnsi="Times New Roman"/>
                <w:b/>
                <w:color w:val="000000"/>
                <w:sz w:val="20"/>
                <w:vertAlign w:val="superscript"/>
              </w:rPr>
              <w:t>ii</w:t>
            </w:r>
          </w:p>
        </w:tc>
      </w:tr>
      <w:tr w:rsidR="002E4D99" w:rsidRPr="00367BEC" w14:paraId="4091B4AD" w14:textId="77777777" w:rsidTr="00865510">
        <w:trPr>
          <w:trHeight w:val="20"/>
        </w:trPr>
        <w:tc>
          <w:tcPr>
            <w:tcW w:w="631" w:type="pct"/>
            <w:tcBorders>
              <w:top w:val="nil"/>
              <w:left w:val="nil"/>
              <w:bottom w:val="nil"/>
              <w:right w:val="nil"/>
            </w:tcBorders>
            <w:shd w:val="clear" w:color="000000" w:fill="FFFFFF"/>
            <w:noWrap/>
            <w:hideMark/>
          </w:tcPr>
          <w:p w14:paraId="2F886B6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1F8C622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679E1395" w14:textId="1A6E1238" w:rsidR="002E4D99" w:rsidRPr="00367BEC" w:rsidRDefault="00E367C8" w:rsidP="00CF1C1E">
            <w:pPr>
              <w:spacing w:after="0" w:line="240" w:lineRule="auto"/>
              <w:rPr>
                <w:rFonts w:ascii="Times New Roman" w:eastAsia="Times New Roman" w:hAnsi="Times New Roman" w:cs="Times New Roman"/>
                <w:color w:val="000000"/>
                <w:sz w:val="20"/>
                <w:szCs w:val="20"/>
              </w:rPr>
            </w:pPr>
            <w:proofErr w:type="spellStart"/>
            <w:r>
              <w:rPr>
                <w:rFonts w:ascii="Times New Roman" w:hAnsi="Times New Roman"/>
                <w:color w:val="000000"/>
                <w:sz w:val="20"/>
              </w:rPr>
              <w:t>R</w:t>
            </w:r>
            <w:r w:rsidRPr="00367BEC">
              <w:rPr>
                <w:rFonts w:ascii="Times New Roman" w:hAnsi="Times New Roman"/>
                <w:color w:val="000000"/>
                <w:sz w:val="20"/>
              </w:rPr>
              <w:t>dM</w:t>
            </w:r>
            <w:proofErr w:type="spellEnd"/>
            <w:r w:rsidRPr="00367BEC">
              <w:rPr>
                <w:rFonts w:ascii="Times New Roman" w:hAnsi="Times New Roman"/>
                <w:color w:val="000000"/>
                <w:sz w:val="20"/>
              </w:rPr>
              <w:t xml:space="preserve"> </w:t>
            </w:r>
            <w:r>
              <w:rPr>
                <w:rFonts w:ascii="Times New Roman" w:hAnsi="Times New Roman"/>
                <w:color w:val="000000"/>
                <w:sz w:val="20"/>
              </w:rPr>
              <w:t xml:space="preserve">RD </w:t>
            </w:r>
            <w:r w:rsidR="002E4D99" w:rsidRPr="00367BEC">
              <w:rPr>
                <w:rFonts w:ascii="Times New Roman" w:hAnsi="Times New Roman"/>
                <w:color w:val="000000"/>
                <w:sz w:val="20"/>
              </w:rPr>
              <w:t>(</w:t>
            </w:r>
            <w:r>
              <w:rPr>
                <w:rFonts w:ascii="Times New Roman" w:hAnsi="Times New Roman"/>
                <w:color w:val="000000"/>
                <w:sz w:val="20"/>
              </w:rPr>
              <w:t>grados</w:t>
            </w:r>
            <w:r w:rsidR="002E4D99"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36623BC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44,7</w:t>
            </w:r>
          </w:p>
        </w:tc>
        <w:tc>
          <w:tcPr>
            <w:tcW w:w="527" w:type="pct"/>
            <w:tcBorders>
              <w:top w:val="nil"/>
              <w:left w:val="nil"/>
              <w:bottom w:val="nil"/>
              <w:right w:val="nil"/>
            </w:tcBorders>
            <w:shd w:val="clear" w:color="000000" w:fill="FFFFFF"/>
            <w:noWrap/>
            <w:hideMark/>
          </w:tcPr>
          <w:p w14:paraId="719C3CC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(17,8)</w:t>
            </w:r>
          </w:p>
        </w:tc>
        <w:tc>
          <w:tcPr>
            <w:tcW w:w="194" w:type="pct"/>
            <w:tcBorders>
              <w:top w:val="nil"/>
              <w:left w:val="nil"/>
              <w:bottom w:val="nil"/>
              <w:right w:val="nil"/>
            </w:tcBorders>
            <w:shd w:val="clear" w:color="000000" w:fill="FFFFFF"/>
            <w:noWrap/>
            <w:hideMark/>
          </w:tcPr>
          <w:p w14:paraId="11D45EF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64,1</w:t>
            </w:r>
          </w:p>
        </w:tc>
        <w:tc>
          <w:tcPr>
            <w:tcW w:w="529" w:type="pct"/>
            <w:tcBorders>
              <w:top w:val="nil"/>
              <w:left w:val="nil"/>
              <w:bottom w:val="nil"/>
              <w:right w:val="nil"/>
            </w:tcBorders>
            <w:shd w:val="clear" w:color="000000" w:fill="FFFFFF"/>
            <w:noWrap/>
            <w:hideMark/>
          </w:tcPr>
          <w:p w14:paraId="1B4BAD8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(11,1)</w:t>
            </w:r>
          </w:p>
        </w:tc>
        <w:tc>
          <w:tcPr>
            <w:tcW w:w="383" w:type="pct"/>
            <w:tcBorders>
              <w:top w:val="nil"/>
              <w:left w:val="nil"/>
              <w:bottom w:val="nil"/>
              <w:right w:val="nil"/>
            </w:tcBorders>
            <w:shd w:val="clear" w:color="000000" w:fill="FFFFFF"/>
            <w:noWrap/>
            <w:hideMark/>
          </w:tcPr>
          <w:p w14:paraId="414DDE2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19,4</w:t>
            </w:r>
          </w:p>
        </w:tc>
        <w:tc>
          <w:tcPr>
            <w:tcW w:w="554" w:type="pct"/>
            <w:tcBorders>
              <w:top w:val="nil"/>
              <w:left w:val="nil"/>
              <w:bottom w:val="nil"/>
              <w:right w:val="nil"/>
            </w:tcBorders>
            <w:shd w:val="clear" w:color="000000" w:fill="FFFFFF"/>
            <w:noWrap/>
            <w:hideMark/>
          </w:tcPr>
          <w:p w14:paraId="63514A0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43,4</w:t>
            </w:r>
            <w:r w:rsidRPr="00367BEC">
              <w:rPr>
                <w:rFonts w:ascii="Times New Roman" w:hAnsi="Times New Roman"/>
                <w:b/>
                <w:color w:val="000000"/>
                <w:sz w:val="20"/>
                <w:vertAlign w:val="superscript"/>
              </w:rPr>
              <w:t>ii</w:t>
            </w:r>
          </w:p>
        </w:tc>
      </w:tr>
      <w:tr w:rsidR="002E4D99" w:rsidRPr="00367BEC" w14:paraId="7C13106A" w14:textId="77777777" w:rsidTr="00865510">
        <w:trPr>
          <w:trHeight w:val="20"/>
        </w:trPr>
        <w:tc>
          <w:tcPr>
            <w:tcW w:w="631" w:type="pct"/>
            <w:tcBorders>
              <w:top w:val="nil"/>
              <w:left w:val="nil"/>
              <w:bottom w:val="nil"/>
              <w:right w:val="nil"/>
            </w:tcBorders>
            <w:shd w:val="clear" w:color="000000" w:fill="FFFFFF"/>
            <w:noWrap/>
            <w:hideMark/>
          </w:tcPr>
          <w:p w14:paraId="30CD2B4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8" w:space="0" w:color="auto"/>
              <w:right w:val="nil"/>
            </w:tcBorders>
            <w:shd w:val="clear" w:color="000000" w:fill="FFFFFF"/>
            <w:noWrap/>
            <w:hideMark/>
          </w:tcPr>
          <w:p w14:paraId="4A02729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8" w:space="0" w:color="auto"/>
              <w:right w:val="nil"/>
            </w:tcBorders>
            <w:shd w:val="clear" w:color="000000" w:fill="FFFFFF"/>
            <w:noWrap/>
            <w:hideMark/>
          </w:tcPr>
          <w:p w14:paraId="5AF2502F" w14:textId="7B4CE70E" w:rsidR="002E4D99" w:rsidRPr="00367BEC" w:rsidRDefault="00E367C8" w:rsidP="00CF1C1E">
            <w:pPr>
              <w:spacing w:after="0" w:line="240" w:lineRule="auto"/>
              <w:rPr>
                <w:rFonts w:ascii="Times New Roman" w:eastAsia="Times New Roman" w:hAnsi="Times New Roman" w:cs="Times New Roman"/>
                <w:color w:val="000000"/>
                <w:sz w:val="20"/>
                <w:szCs w:val="20"/>
              </w:rPr>
            </w:pPr>
            <w:proofErr w:type="spellStart"/>
            <w:r>
              <w:rPr>
                <w:rFonts w:ascii="Times New Roman" w:hAnsi="Times New Roman"/>
                <w:color w:val="000000"/>
                <w:sz w:val="20"/>
              </w:rPr>
              <w:t>R</w:t>
            </w:r>
            <w:r w:rsidRPr="00367BEC">
              <w:rPr>
                <w:rFonts w:ascii="Times New Roman" w:hAnsi="Times New Roman"/>
                <w:color w:val="000000"/>
                <w:sz w:val="20"/>
              </w:rPr>
              <w:t>dM</w:t>
            </w:r>
            <w:proofErr w:type="spellEnd"/>
            <w:r w:rsidRPr="00367BEC">
              <w:rPr>
                <w:rFonts w:ascii="Times New Roman" w:hAnsi="Times New Roman"/>
                <w:color w:val="000000"/>
                <w:sz w:val="20"/>
              </w:rPr>
              <w:t xml:space="preserve"> </w:t>
            </w:r>
            <w:r>
              <w:rPr>
                <w:rFonts w:ascii="Times New Roman" w:hAnsi="Times New Roman"/>
                <w:color w:val="000000"/>
                <w:sz w:val="20"/>
              </w:rPr>
              <w:t xml:space="preserve">RI </w:t>
            </w:r>
            <w:r w:rsidR="002E4D99" w:rsidRPr="00367BEC">
              <w:rPr>
                <w:rFonts w:ascii="Times New Roman" w:hAnsi="Times New Roman"/>
                <w:color w:val="000000"/>
                <w:sz w:val="20"/>
              </w:rPr>
              <w:t>(</w:t>
            </w:r>
            <w:r>
              <w:rPr>
                <w:rFonts w:ascii="Times New Roman" w:hAnsi="Times New Roman"/>
                <w:color w:val="000000"/>
                <w:sz w:val="20"/>
              </w:rPr>
              <w:t>grados</w:t>
            </w:r>
            <w:r w:rsidR="002E4D99" w:rsidRPr="00367BEC">
              <w:rPr>
                <w:rFonts w:ascii="Times New Roman" w:hAnsi="Times New Roman"/>
                <w:color w:val="000000"/>
                <w:sz w:val="20"/>
              </w:rPr>
              <w:t>)</w:t>
            </w:r>
          </w:p>
        </w:tc>
        <w:tc>
          <w:tcPr>
            <w:tcW w:w="258" w:type="pct"/>
            <w:tcBorders>
              <w:top w:val="nil"/>
              <w:left w:val="nil"/>
              <w:bottom w:val="single" w:sz="8" w:space="0" w:color="auto"/>
              <w:right w:val="nil"/>
            </w:tcBorders>
            <w:shd w:val="clear" w:color="000000" w:fill="FFFFFF"/>
            <w:noWrap/>
            <w:hideMark/>
          </w:tcPr>
          <w:p w14:paraId="1CFB12A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46,3</w:t>
            </w:r>
          </w:p>
        </w:tc>
        <w:tc>
          <w:tcPr>
            <w:tcW w:w="527" w:type="pct"/>
            <w:tcBorders>
              <w:top w:val="nil"/>
              <w:left w:val="nil"/>
              <w:bottom w:val="single" w:sz="8" w:space="0" w:color="auto"/>
              <w:right w:val="nil"/>
            </w:tcBorders>
            <w:shd w:val="clear" w:color="000000" w:fill="FFFFFF"/>
            <w:noWrap/>
            <w:hideMark/>
          </w:tcPr>
          <w:p w14:paraId="6707B35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(17,3)</w:t>
            </w:r>
          </w:p>
        </w:tc>
        <w:tc>
          <w:tcPr>
            <w:tcW w:w="194" w:type="pct"/>
            <w:tcBorders>
              <w:top w:val="nil"/>
              <w:left w:val="nil"/>
              <w:bottom w:val="single" w:sz="8" w:space="0" w:color="auto"/>
              <w:right w:val="nil"/>
            </w:tcBorders>
            <w:shd w:val="clear" w:color="000000" w:fill="FFFFFF"/>
            <w:noWrap/>
            <w:hideMark/>
          </w:tcPr>
          <w:p w14:paraId="2D77D13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64,5</w:t>
            </w:r>
          </w:p>
        </w:tc>
        <w:tc>
          <w:tcPr>
            <w:tcW w:w="529" w:type="pct"/>
            <w:tcBorders>
              <w:top w:val="nil"/>
              <w:left w:val="nil"/>
              <w:bottom w:val="single" w:sz="8" w:space="0" w:color="auto"/>
              <w:right w:val="nil"/>
            </w:tcBorders>
            <w:shd w:val="clear" w:color="000000" w:fill="FFFFFF"/>
            <w:noWrap/>
            <w:hideMark/>
          </w:tcPr>
          <w:p w14:paraId="68A134A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(10,5)</w:t>
            </w:r>
          </w:p>
        </w:tc>
        <w:tc>
          <w:tcPr>
            <w:tcW w:w="383" w:type="pct"/>
            <w:tcBorders>
              <w:top w:val="nil"/>
              <w:left w:val="nil"/>
              <w:bottom w:val="single" w:sz="8" w:space="0" w:color="auto"/>
              <w:right w:val="nil"/>
            </w:tcBorders>
            <w:shd w:val="clear" w:color="000000" w:fill="FFFFFF"/>
            <w:noWrap/>
            <w:hideMark/>
          </w:tcPr>
          <w:p w14:paraId="0B6E653B"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18,2</w:t>
            </w:r>
          </w:p>
        </w:tc>
        <w:tc>
          <w:tcPr>
            <w:tcW w:w="554" w:type="pct"/>
            <w:tcBorders>
              <w:top w:val="nil"/>
              <w:left w:val="nil"/>
              <w:bottom w:val="single" w:sz="8" w:space="0" w:color="auto"/>
              <w:right w:val="nil"/>
            </w:tcBorders>
            <w:shd w:val="clear" w:color="000000" w:fill="FFFFFF"/>
            <w:noWrap/>
            <w:hideMark/>
          </w:tcPr>
          <w:p w14:paraId="252E4B7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39,3</w:t>
            </w:r>
            <w:r w:rsidRPr="00367BEC">
              <w:rPr>
                <w:rFonts w:ascii="Times New Roman" w:hAnsi="Times New Roman"/>
                <w:b/>
                <w:color w:val="000000"/>
                <w:sz w:val="20"/>
                <w:vertAlign w:val="superscript"/>
              </w:rPr>
              <w:t>ii</w:t>
            </w:r>
          </w:p>
        </w:tc>
      </w:tr>
      <w:tr w:rsidR="002E4D99" w:rsidRPr="00367BEC" w14:paraId="0E249E3D" w14:textId="77777777" w:rsidTr="00865510">
        <w:trPr>
          <w:trHeight w:val="20"/>
        </w:trPr>
        <w:tc>
          <w:tcPr>
            <w:tcW w:w="631" w:type="pct"/>
            <w:tcBorders>
              <w:top w:val="single" w:sz="8" w:space="0" w:color="auto"/>
              <w:left w:val="nil"/>
              <w:bottom w:val="nil"/>
              <w:right w:val="nil"/>
            </w:tcBorders>
            <w:shd w:val="clear" w:color="000000" w:fill="FFFFFF"/>
            <w:noWrap/>
            <w:hideMark/>
          </w:tcPr>
          <w:p w14:paraId="0269A51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Passavanti</w:t>
            </w:r>
            <w:proofErr w:type="spellEnd"/>
            <w:r w:rsidRPr="00367BEC">
              <w:rPr>
                <w:rFonts w:ascii="Times New Roman" w:hAnsi="Times New Roman"/>
                <w:color w:val="000000"/>
                <w:sz w:val="20"/>
              </w:rPr>
              <w:t xml:space="preserve"> 2017</w:t>
            </w:r>
          </w:p>
        </w:tc>
        <w:tc>
          <w:tcPr>
            <w:tcW w:w="590" w:type="pct"/>
            <w:tcBorders>
              <w:top w:val="single" w:sz="8" w:space="0" w:color="auto"/>
              <w:left w:val="nil"/>
              <w:bottom w:val="single" w:sz="4" w:space="0" w:color="E7E6E6" w:themeColor="background2"/>
              <w:right w:val="nil"/>
            </w:tcBorders>
            <w:shd w:val="clear" w:color="000000" w:fill="FFFFFF"/>
            <w:noWrap/>
            <w:hideMark/>
          </w:tcPr>
          <w:p w14:paraId="29EE99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1334" w:type="pct"/>
            <w:tcBorders>
              <w:top w:val="single" w:sz="8" w:space="0" w:color="auto"/>
              <w:left w:val="nil"/>
              <w:bottom w:val="single" w:sz="4" w:space="0" w:color="E7E6E6" w:themeColor="background2"/>
              <w:right w:val="nil"/>
            </w:tcBorders>
            <w:shd w:val="clear" w:color="000000" w:fill="FFFFFF"/>
            <w:noWrap/>
            <w:hideMark/>
          </w:tcPr>
          <w:p w14:paraId="417FD38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w:t>
            </w:r>
          </w:p>
        </w:tc>
        <w:tc>
          <w:tcPr>
            <w:tcW w:w="258" w:type="pct"/>
            <w:tcBorders>
              <w:top w:val="single" w:sz="8" w:space="0" w:color="auto"/>
              <w:left w:val="nil"/>
              <w:bottom w:val="single" w:sz="4" w:space="0" w:color="E7E6E6" w:themeColor="background2"/>
              <w:right w:val="nil"/>
            </w:tcBorders>
            <w:shd w:val="clear" w:color="000000" w:fill="FFFFFF"/>
            <w:noWrap/>
            <w:hideMark/>
          </w:tcPr>
          <w:p w14:paraId="5FE3652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54,6</w:t>
            </w:r>
          </w:p>
        </w:tc>
        <w:tc>
          <w:tcPr>
            <w:tcW w:w="527" w:type="pct"/>
            <w:tcBorders>
              <w:top w:val="single" w:sz="8" w:space="0" w:color="auto"/>
              <w:left w:val="nil"/>
              <w:bottom w:val="single" w:sz="4" w:space="0" w:color="E7E6E6" w:themeColor="background2"/>
              <w:right w:val="nil"/>
            </w:tcBorders>
            <w:shd w:val="clear" w:color="000000" w:fill="FFFFFF"/>
            <w:noWrap/>
            <w:hideMark/>
          </w:tcPr>
          <w:p w14:paraId="31AC1AA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2,2</w:t>
            </w:r>
          </w:p>
        </w:tc>
        <w:tc>
          <w:tcPr>
            <w:tcW w:w="194" w:type="pct"/>
            <w:tcBorders>
              <w:top w:val="single" w:sz="8" w:space="0" w:color="auto"/>
              <w:left w:val="nil"/>
              <w:bottom w:val="single" w:sz="4" w:space="0" w:color="E7E6E6" w:themeColor="background2"/>
              <w:right w:val="nil"/>
            </w:tcBorders>
            <w:shd w:val="clear" w:color="000000" w:fill="FFFFFF"/>
            <w:noWrap/>
            <w:hideMark/>
          </w:tcPr>
          <w:p w14:paraId="3286525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44,6</w:t>
            </w:r>
          </w:p>
        </w:tc>
        <w:tc>
          <w:tcPr>
            <w:tcW w:w="529" w:type="pct"/>
            <w:tcBorders>
              <w:top w:val="single" w:sz="8" w:space="0" w:color="auto"/>
              <w:left w:val="nil"/>
              <w:bottom w:val="single" w:sz="4" w:space="0" w:color="E7E6E6" w:themeColor="background2"/>
              <w:right w:val="nil"/>
            </w:tcBorders>
            <w:shd w:val="clear" w:color="000000" w:fill="FFFFFF"/>
            <w:noWrap/>
            <w:hideMark/>
          </w:tcPr>
          <w:p w14:paraId="6611311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3,02</w:t>
            </w:r>
          </w:p>
        </w:tc>
        <w:tc>
          <w:tcPr>
            <w:tcW w:w="383" w:type="pct"/>
            <w:tcBorders>
              <w:top w:val="single" w:sz="8" w:space="0" w:color="auto"/>
              <w:left w:val="nil"/>
              <w:bottom w:val="single" w:sz="4" w:space="0" w:color="E7E6E6" w:themeColor="background2"/>
              <w:right w:val="nil"/>
            </w:tcBorders>
            <w:shd w:val="clear" w:color="000000" w:fill="FFFFFF"/>
            <w:noWrap/>
            <w:hideMark/>
          </w:tcPr>
          <w:p w14:paraId="3C9416C4"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−10,0</w:t>
            </w:r>
            <w:r w:rsidRPr="00367BEC">
              <w:rPr>
                <w:rFonts w:ascii="Times New Roman" w:hAnsi="Times New Roman"/>
                <w:b/>
                <w:color w:val="000000"/>
                <w:sz w:val="20"/>
                <w:vertAlign w:val="superscript"/>
              </w:rPr>
              <w:t xml:space="preserve"> III</w:t>
            </w:r>
          </w:p>
        </w:tc>
        <w:tc>
          <w:tcPr>
            <w:tcW w:w="554" w:type="pct"/>
            <w:tcBorders>
              <w:top w:val="single" w:sz="8" w:space="0" w:color="auto"/>
              <w:left w:val="nil"/>
              <w:bottom w:val="single" w:sz="4" w:space="0" w:color="E7E6E6" w:themeColor="background2"/>
              <w:right w:val="nil"/>
            </w:tcBorders>
            <w:shd w:val="clear" w:color="000000" w:fill="FFFFFF"/>
            <w:noWrap/>
            <w:hideMark/>
          </w:tcPr>
          <w:p w14:paraId="183A42E2"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−18,3</w:t>
            </w:r>
            <w:r w:rsidRPr="00367BEC">
              <w:rPr>
                <w:rFonts w:ascii="Times New Roman" w:hAnsi="Times New Roman"/>
                <w:b/>
                <w:color w:val="000000"/>
                <w:sz w:val="20"/>
                <w:vertAlign w:val="superscript"/>
              </w:rPr>
              <w:t>iii</w:t>
            </w:r>
          </w:p>
        </w:tc>
      </w:tr>
      <w:tr w:rsidR="002E4D99" w:rsidRPr="00367BEC" w14:paraId="2D907070" w14:textId="77777777" w:rsidTr="00865510">
        <w:trPr>
          <w:trHeight w:val="20"/>
        </w:trPr>
        <w:tc>
          <w:tcPr>
            <w:tcW w:w="631" w:type="pct"/>
            <w:tcBorders>
              <w:top w:val="nil"/>
              <w:left w:val="nil"/>
              <w:bottom w:val="single" w:sz="8" w:space="0" w:color="auto"/>
              <w:right w:val="nil"/>
            </w:tcBorders>
            <w:shd w:val="clear" w:color="000000" w:fill="FFFFFF"/>
            <w:noWrap/>
            <w:hideMark/>
          </w:tcPr>
          <w:p w14:paraId="2DD73E3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single" w:sz="4" w:space="0" w:color="E7E6E6" w:themeColor="background2"/>
              <w:left w:val="nil"/>
              <w:bottom w:val="single" w:sz="8" w:space="0" w:color="auto"/>
              <w:right w:val="nil"/>
            </w:tcBorders>
            <w:shd w:val="clear" w:color="000000" w:fill="FFFFFF"/>
            <w:noWrap/>
            <w:hideMark/>
          </w:tcPr>
          <w:p w14:paraId="357B66D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TAP + </w:t>
            </w:r>
            <w:proofErr w:type="spellStart"/>
            <w:r w:rsidRPr="00367BEC">
              <w:rPr>
                <w:rFonts w:ascii="Times New Roman" w:hAnsi="Times New Roman"/>
                <w:color w:val="000000"/>
                <w:sz w:val="20"/>
              </w:rPr>
              <w:t>um</w:t>
            </w:r>
            <w:proofErr w:type="spellEnd"/>
            <w:r w:rsidRPr="00367BEC">
              <w:rPr>
                <w:rFonts w:ascii="Times New Roman" w:hAnsi="Times New Roman"/>
                <w:color w:val="000000"/>
                <w:sz w:val="20"/>
              </w:rPr>
              <w:t>-PEA</w:t>
            </w:r>
          </w:p>
        </w:tc>
        <w:tc>
          <w:tcPr>
            <w:tcW w:w="1334" w:type="pct"/>
            <w:tcBorders>
              <w:top w:val="single" w:sz="4" w:space="0" w:color="E7E6E6" w:themeColor="background2"/>
              <w:left w:val="nil"/>
              <w:bottom w:val="single" w:sz="8" w:space="0" w:color="auto"/>
              <w:right w:val="nil"/>
            </w:tcBorders>
            <w:shd w:val="clear" w:color="000000" w:fill="FFFFFF"/>
            <w:noWrap/>
            <w:hideMark/>
          </w:tcPr>
          <w:p w14:paraId="5A2597F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w:t>
            </w:r>
          </w:p>
        </w:tc>
        <w:tc>
          <w:tcPr>
            <w:tcW w:w="258" w:type="pct"/>
            <w:tcBorders>
              <w:top w:val="single" w:sz="4" w:space="0" w:color="E7E6E6" w:themeColor="background2"/>
              <w:left w:val="nil"/>
              <w:bottom w:val="single" w:sz="8" w:space="0" w:color="auto"/>
              <w:right w:val="nil"/>
            </w:tcBorders>
            <w:shd w:val="clear" w:color="000000" w:fill="FFFFFF"/>
            <w:noWrap/>
            <w:hideMark/>
          </w:tcPr>
          <w:p w14:paraId="6F4449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56,9</w:t>
            </w:r>
          </w:p>
        </w:tc>
        <w:tc>
          <w:tcPr>
            <w:tcW w:w="527" w:type="pct"/>
            <w:tcBorders>
              <w:top w:val="single" w:sz="4" w:space="0" w:color="E7E6E6" w:themeColor="background2"/>
              <w:left w:val="nil"/>
              <w:bottom w:val="single" w:sz="8" w:space="0" w:color="auto"/>
              <w:right w:val="nil"/>
            </w:tcBorders>
            <w:shd w:val="clear" w:color="000000" w:fill="FFFFFF"/>
            <w:noWrap/>
            <w:hideMark/>
          </w:tcPr>
          <w:p w14:paraId="29C0F0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1,55</w:t>
            </w:r>
          </w:p>
        </w:tc>
        <w:tc>
          <w:tcPr>
            <w:tcW w:w="194" w:type="pct"/>
            <w:tcBorders>
              <w:top w:val="single" w:sz="4" w:space="0" w:color="E7E6E6" w:themeColor="background2"/>
              <w:left w:val="nil"/>
              <w:bottom w:val="single" w:sz="8" w:space="0" w:color="auto"/>
              <w:right w:val="nil"/>
            </w:tcBorders>
            <w:shd w:val="clear" w:color="000000" w:fill="FFFFFF"/>
            <w:noWrap/>
            <w:hideMark/>
          </w:tcPr>
          <w:p w14:paraId="69DFD03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37,7</w:t>
            </w:r>
          </w:p>
        </w:tc>
        <w:tc>
          <w:tcPr>
            <w:tcW w:w="529" w:type="pct"/>
            <w:tcBorders>
              <w:top w:val="single" w:sz="4" w:space="0" w:color="E7E6E6" w:themeColor="background2"/>
              <w:left w:val="nil"/>
              <w:bottom w:val="single" w:sz="8" w:space="0" w:color="auto"/>
              <w:right w:val="nil"/>
            </w:tcBorders>
            <w:shd w:val="clear" w:color="000000" w:fill="FFFFFF"/>
            <w:noWrap/>
            <w:hideMark/>
          </w:tcPr>
          <w:p w14:paraId="4A445E4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EE = 2,38</w:t>
            </w:r>
          </w:p>
        </w:tc>
        <w:tc>
          <w:tcPr>
            <w:tcW w:w="383" w:type="pct"/>
            <w:tcBorders>
              <w:top w:val="single" w:sz="4" w:space="0" w:color="E7E6E6" w:themeColor="background2"/>
              <w:left w:val="nil"/>
              <w:bottom w:val="single" w:sz="8" w:space="0" w:color="auto"/>
              <w:right w:val="nil"/>
            </w:tcBorders>
            <w:shd w:val="clear" w:color="000000" w:fill="FFFFFF"/>
            <w:noWrap/>
            <w:hideMark/>
          </w:tcPr>
          <w:p w14:paraId="3BE15A0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−19,2</w:t>
            </w:r>
          </w:p>
        </w:tc>
        <w:tc>
          <w:tcPr>
            <w:tcW w:w="554" w:type="pct"/>
            <w:tcBorders>
              <w:top w:val="single" w:sz="4" w:space="0" w:color="E7E6E6" w:themeColor="background2"/>
              <w:left w:val="nil"/>
              <w:bottom w:val="single" w:sz="8" w:space="0" w:color="auto"/>
              <w:right w:val="nil"/>
            </w:tcBorders>
            <w:shd w:val="clear" w:color="000000" w:fill="FFFFFF"/>
            <w:noWrap/>
            <w:hideMark/>
          </w:tcPr>
          <w:p w14:paraId="4F488E85"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−33,7</w:t>
            </w:r>
            <w:r w:rsidRPr="00367BEC">
              <w:rPr>
                <w:rFonts w:ascii="Times New Roman" w:hAnsi="Times New Roman"/>
                <w:b/>
                <w:color w:val="000000"/>
                <w:sz w:val="20"/>
                <w:vertAlign w:val="superscript"/>
              </w:rPr>
              <w:t>iii</w:t>
            </w:r>
          </w:p>
        </w:tc>
      </w:tr>
      <w:tr w:rsidR="002E4D99" w:rsidRPr="00367BEC" w14:paraId="72EAB6BD" w14:textId="77777777" w:rsidTr="00865510">
        <w:trPr>
          <w:trHeight w:val="20"/>
        </w:trPr>
        <w:tc>
          <w:tcPr>
            <w:tcW w:w="631" w:type="pct"/>
            <w:tcBorders>
              <w:top w:val="nil"/>
              <w:left w:val="nil"/>
              <w:bottom w:val="nil"/>
              <w:right w:val="nil"/>
            </w:tcBorders>
            <w:shd w:val="clear" w:color="000000" w:fill="FFFFFF"/>
            <w:noWrap/>
            <w:hideMark/>
          </w:tcPr>
          <w:p w14:paraId="193656A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Ueberall</w:t>
            </w:r>
            <w:proofErr w:type="spellEnd"/>
            <w:r w:rsidRPr="00367BEC">
              <w:rPr>
                <w:rFonts w:ascii="Times New Roman" w:hAnsi="Times New Roman"/>
                <w:color w:val="000000"/>
                <w:sz w:val="20"/>
              </w:rPr>
              <w:t xml:space="preserve"> 2016</w:t>
            </w:r>
          </w:p>
        </w:tc>
        <w:tc>
          <w:tcPr>
            <w:tcW w:w="590" w:type="pct"/>
            <w:tcBorders>
              <w:top w:val="nil"/>
              <w:left w:val="nil"/>
              <w:bottom w:val="single" w:sz="4" w:space="0" w:color="E7E6E6" w:themeColor="background2"/>
              <w:right w:val="nil"/>
            </w:tcBorders>
            <w:shd w:val="clear" w:color="000000" w:fill="FFFFFF"/>
            <w:noWrap/>
            <w:hideMark/>
          </w:tcPr>
          <w:p w14:paraId="54A6EF9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1334" w:type="pct"/>
            <w:tcBorders>
              <w:top w:val="nil"/>
              <w:left w:val="nil"/>
              <w:bottom w:val="single" w:sz="4" w:space="0" w:color="E7E6E6" w:themeColor="background2"/>
              <w:right w:val="nil"/>
            </w:tcBorders>
            <w:shd w:val="clear" w:color="000000" w:fill="FFFFFF"/>
            <w:noWrap/>
            <w:hideMark/>
          </w:tcPr>
          <w:p w14:paraId="2342C3D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EVN-11</w:t>
            </w:r>
          </w:p>
        </w:tc>
        <w:tc>
          <w:tcPr>
            <w:tcW w:w="258" w:type="pct"/>
            <w:tcBorders>
              <w:top w:val="nil"/>
              <w:left w:val="nil"/>
              <w:bottom w:val="single" w:sz="4" w:space="0" w:color="E7E6E6" w:themeColor="background2"/>
              <w:right w:val="nil"/>
            </w:tcBorders>
            <w:shd w:val="clear" w:color="000000" w:fill="FFFFFF"/>
            <w:noWrap/>
            <w:hideMark/>
          </w:tcPr>
          <w:p w14:paraId="53608B6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42,1</w:t>
            </w:r>
          </w:p>
        </w:tc>
        <w:tc>
          <w:tcPr>
            <w:tcW w:w="527" w:type="pct"/>
            <w:tcBorders>
              <w:top w:val="nil"/>
              <w:left w:val="nil"/>
              <w:bottom w:val="single" w:sz="4" w:space="0" w:color="E7E6E6" w:themeColor="background2"/>
              <w:right w:val="nil"/>
            </w:tcBorders>
            <w:shd w:val="clear" w:color="000000" w:fill="FFFFFF"/>
            <w:noWrap/>
            <w:hideMark/>
          </w:tcPr>
          <w:p w14:paraId="39D045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(12,2)</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 </w:t>
            </w:r>
          </w:p>
        </w:tc>
        <w:tc>
          <w:tcPr>
            <w:tcW w:w="194" w:type="pct"/>
            <w:tcBorders>
              <w:top w:val="nil"/>
              <w:left w:val="nil"/>
              <w:bottom w:val="single" w:sz="4" w:space="0" w:color="E7E6E6" w:themeColor="background2"/>
              <w:right w:val="nil"/>
            </w:tcBorders>
            <w:shd w:val="clear" w:color="000000" w:fill="FFFFFF"/>
            <w:noWrap/>
            <w:hideMark/>
          </w:tcPr>
          <w:p w14:paraId="05FBDFD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9" w:type="pct"/>
            <w:tcBorders>
              <w:top w:val="nil"/>
              <w:left w:val="nil"/>
              <w:bottom w:val="single" w:sz="4" w:space="0" w:color="E7E6E6" w:themeColor="background2"/>
              <w:right w:val="nil"/>
            </w:tcBorders>
            <w:shd w:val="clear" w:color="000000" w:fill="FFFFFF"/>
            <w:noWrap/>
            <w:hideMark/>
          </w:tcPr>
          <w:p w14:paraId="2AC70FE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single" w:sz="4" w:space="0" w:color="E7E6E6" w:themeColor="background2"/>
              <w:right w:val="nil"/>
            </w:tcBorders>
            <w:shd w:val="clear" w:color="000000" w:fill="FFFFFF"/>
            <w:noWrap/>
            <w:hideMark/>
          </w:tcPr>
          <w:p w14:paraId="31BAC24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54" w:type="pct"/>
            <w:tcBorders>
              <w:top w:val="nil"/>
              <w:left w:val="nil"/>
              <w:bottom w:val="single" w:sz="4" w:space="0" w:color="E7E6E6" w:themeColor="background2"/>
              <w:right w:val="nil"/>
            </w:tcBorders>
            <w:shd w:val="clear" w:color="000000" w:fill="FFFFFF"/>
            <w:noWrap/>
            <w:hideMark/>
          </w:tcPr>
          <w:p w14:paraId="64BAF2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5576FFD0" w14:textId="77777777" w:rsidTr="00865510">
        <w:trPr>
          <w:trHeight w:val="20"/>
        </w:trPr>
        <w:tc>
          <w:tcPr>
            <w:tcW w:w="631" w:type="pct"/>
            <w:tcBorders>
              <w:top w:val="nil"/>
              <w:left w:val="nil"/>
              <w:bottom w:val="single" w:sz="8" w:space="0" w:color="auto"/>
              <w:right w:val="nil"/>
            </w:tcBorders>
            <w:shd w:val="clear" w:color="000000" w:fill="FFFFFF"/>
            <w:noWrap/>
            <w:hideMark/>
          </w:tcPr>
          <w:p w14:paraId="317168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single" w:sz="4" w:space="0" w:color="E7E6E6" w:themeColor="background2"/>
              <w:left w:val="nil"/>
              <w:bottom w:val="single" w:sz="8" w:space="0" w:color="auto"/>
              <w:right w:val="nil"/>
            </w:tcBorders>
            <w:shd w:val="clear" w:color="000000" w:fill="FFFFFF"/>
            <w:noWrap/>
            <w:hideMark/>
          </w:tcPr>
          <w:p w14:paraId="66C48E4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OXN</w:t>
            </w:r>
          </w:p>
        </w:tc>
        <w:tc>
          <w:tcPr>
            <w:tcW w:w="1334" w:type="pct"/>
            <w:tcBorders>
              <w:top w:val="single" w:sz="4" w:space="0" w:color="E7E6E6" w:themeColor="background2"/>
              <w:left w:val="nil"/>
              <w:bottom w:val="single" w:sz="8" w:space="0" w:color="auto"/>
              <w:right w:val="nil"/>
            </w:tcBorders>
            <w:shd w:val="clear" w:color="000000" w:fill="FFFFFF"/>
            <w:noWrap/>
            <w:hideMark/>
          </w:tcPr>
          <w:p w14:paraId="1D94698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EVN-11</w:t>
            </w:r>
          </w:p>
        </w:tc>
        <w:tc>
          <w:tcPr>
            <w:tcW w:w="258" w:type="pct"/>
            <w:tcBorders>
              <w:top w:val="single" w:sz="4" w:space="0" w:color="E7E6E6" w:themeColor="background2"/>
              <w:left w:val="nil"/>
              <w:bottom w:val="single" w:sz="8" w:space="0" w:color="auto"/>
              <w:right w:val="nil"/>
            </w:tcBorders>
            <w:shd w:val="clear" w:color="000000" w:fill="FFFFFF"/>
            <w:noWrap/>
            <w:hideMark/>
          </w:tcPr>
          <w:p w14:paraId="61A1516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43,9</w:t>
            </w:r>
          </w:p>
        </w:tc>
        <w:tc>
          <w:tcPr>
            <w:tcW w:w="527" w:type="pct"/>
            <w:tcBorders>
              <w:top w:val="single" w:sz="4" w:space="0" w:color="E7E6E6" w:themeColor="background2"/>
              <w:left w:val="nil"/>
              <w:bottom w:val="single" w:sz="8" w:space="0" w:color="auto"/>
              <w:right w:val="nil"/>
            </w:tcBorders>
            <w:shd w:val="clear" w:color="000000" w:fill="FFFFFF"/>
            <w:noWrap/>
            <w:hideMark/>
          </w:tcPr>
          <w:p w14:paraId="04BCFC2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(12,0)</w:t>
            </w:r>
          </w:p>
        </w:tc>
        <w:tc>
          <w:tcPr>
            <w:tcW w:w="194" w:type="pct"/>
            <w:tcBorders>
              <w:top w:val="single" w:sz="4" w:space="0" w:color="E7E6E6" w:themeColor="background2"/>
              <w:left w:val="nil"/>
              <w:bottom w:val="single" w:sz="8" w:space="0" w:color="auto"/>
              <w:right w:val="nil"/>
            </w:tcBorders>
            <w:shd w:val="clear" w:color="000000" w:fill="FFFFFF"/>
            <w:noWrap/>
            <w:hideMark/>
          </w:tcPr>
          <w:p w14:paraId="6122BAF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9" w:type="pct"/>
            <w:tcBorders>
              <w:top w:val="single" w:sz="4" w:space="0" w:color="E7E6E6" w:themeColor="background2"/>
              <w:left w:val="nil"/>
              <w:bottom w:val="single" w:sz="8" w:space="0" w:color="auto"/>
              <w:right w:val="nil"/>
            </w:tcBorders>
            <w:shd w:val="clear" w:color="000000" w:fill="FFFFFF"/>
            <w:noWrap/>
            <w:hideMark/>
          </w:tcPr>
          <w:p w14:paraId="0C6C4CB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single" w:sz="4" w:space="0" w:color="E7E6E6" w:themeColor="background2"/>
              <w:left w:val="nil"/>
              <w:bottom w:val="single" w:sz="8" w:space="0" w:color="auto"/>
              <w:right w:val="nil"/>
            </w:tcBorders>
            <w:shd w:val="clear" w:color="000000" w:fill="FFFFFF"/>
            <w:noWrap/>
            <w:hideMark/>
          </w:tcPr>
          <w:p w14:paraId="31C6A81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54" w:type="pct"/>
            <w:tcBorders>
              <w:top w:val="single" w:sz="4" w:space="0" w:color="E7E6E6" w:themeColor="background2"/>
              <w:left w:val="nil"/>
              <w:bottom w:val="single" w:sz="8" w:space="0" w:color="auto"/>
              <w:right w:val="nil"/>
            </w:tcBorders>
            <w:shd w:val="clear" w:color="000000" w:fill="FFFFFF"/>
            <w:noWrap/>
            <w:hideMark/>
          </w:tcPr>
          <w:p w14:paraId="2D2A93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5B06FDC2" w14:textId="77777777" w:rsidTr="00865510">
        <w:trPr>
          <w:trHeight w:val="20"/>
        </w:trPr>
        <w:tc>
          <w:tcPr>
            <w:tcW w:w="631" w:type="pct"/>
            <w:tcBorders>
              <w:top w:val="nil"/>
              <w:left w:val="nil"/>
              <w:bottom w:val="single" w:sz="8" w:space="0" w:color="auto"/>
              <w:right w:val="nil"/>
            </w:tcBorders>
            <w:shd w:val="clear" w:color="000000" w:fill="FFFFFF"/>
            <w:noWrap/>
            <w:hideMark/>
          </w:tcPr>
          <w:p w14:paraId="5140C4C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Samolsky</w:t>
            </w:r>
            <w:proofErr w:type="spellEnd"/>
            <w:r w:rsidRPr="00367BEC">
              <w:rPr>
                <w:rFonts w:ascii="Times New Roman" w:hAnsi="Times New Roman"/>
                <w:color w:val="000000"/>
                <w:sz w:val="20"/>
              </w:rPr>
              <w:t xml:space="preserve"> 2015</w:t>
            </w:r>
          </w:p>
        </w:tc>
        <w:tc>
          <w:tcPr>
            <w:tcW w:w="590" w:type="pct"/>
            <w:tcBorders>
              <w:top w:val="nil"/>
              <w:left w:val="nil"/>
              <w:bottom w:val="single" w:sz="8" w:space="0" w:color="auto"/>
              <w:right w:val="nil"/>
            </w:tcBorders>
            <w:shd w:val="clear" w:color="000000" w:fill="FFFFFF"/>
            <w:noWrap/>
            <w:hideMark/>
          </w:tcPr>
          <w:p w14:paraId="3CCAB81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334" w:type="pct"/>
            <w:tcBorders>
              <w:top w:val="nil"/>
              <w:left w:val="nil"/>
              <w:bottom w:val="single" w:sz="8" w:space="0" w:color="auto"/>
              <w:right w:val="nil"/>
            </w:tcBorders>
            <w:shd w:val="clear" w:color="000000" w:fill="FFFFFF"/>
            <w:noWrap/>
            <w:hideMark/>
          </w:tcPr>
          <w:p w14:paraId="4804954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del sueño (4 apartados)</w:t>
            </w:r>
          </w:p>
        </w:tc>
        <w:tc>
          <w:tcPr>
            <w:tcW w:w="258" w:type="pct"/>
            <w:tcBorders>
              <w:top w:val="nil"/>
              <w:left w:val="nil"/>
              <w:bottom w:val="single" w:sz="8" w:space="0" w:color="auto"/>
              <w:right w:val="nil"/>
            </w:tcBorders>
            <w:shd w:val="clear" w:color="000000" w:fill="FFFFFF"/>
            <w:noWrap/>
            <w:hideMark/>
          </w:tcPr>
          <w:p w14:paraId="72E0BA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3,0</w:t>
            </w:r>
          </w:p>
        </w:tc>
        <w:tc>
          <w:tcPr>
            <w:tcW w:w="527" w:type="pct"/>
            <w:tcBorders>
              <w:top w:val="nil"/>
              <w:left w:val="nil"/>
              <w:bottom w:val="single" w:sz="8" w:space="0" w:color="auto"/>
              <w:right w:val="nil"/>
            </w:tcBorders>
            <w:shd w:val="clear" w:color="000000" w:fill="FFFFFF"/>
            <w:noWrap/>
            <w:hideMark/>
          </w:tcPr>
          <w:p w14:paraId="325E14A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w:t>
            </w:r>
          </w:p>
        </w:tc>
        <w:tc>
          <w:tcPr>
            <w:tcW w:w="194" w:type="pct"/>
            <w:tcBorders>
              <w:top w:val="nil"/>
              <w:left w:val="nil"/>
              <w:bottom w:val="single" w:sz="8" w:space="0" w:color="auto"/>
              <w:right w:val="nil"/>
            </w:tcBorders>
            <w:shd w:val="clear" w:color="000000" w:fill="FFFFFF"/>
            <w:noWrap/>
            <w:hideMark/>
          </w:tcPr>
          <w:p w14:paraId="5E4A8E0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4,0</w:t>
            </w:r>
          </w:p>
        </w:tc>
        <w:tc>
          <w:tcPr>
            <w:tcW w:w="529" w:type="pct"/>
            <w:tcBorders>
              <w:top w:val="nil"/>
              <w:left w:val="nil"/>
              <w:bottom w:val="single" w:sz="8" w:space="0" w:color="auto"/>
              <w:right w:val="nil"/>
            </w:tcBorders>
            <w:shd w:val="clear" w:color="000000" w:fill="FFFFFF"/>
            <w:noWrap/>
            <w:hideMark/>
          </w:tcPr>
          <w:p w14:paraId="6D38649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w:t>
            </w:r>
          </w:p>
        </w:tc>
        <w:tc>
          <w:tcPr>
            <w:tcW w:w="383" w:type="pct"/>
            <w:tcBorders>
              <w:top w:val="nil"/>
              <w:left w:val="nil"/>
              <w:bottom w:val="single" w:sz="8" w:space="0" w:color="auto"/>
              <w:right w:val="nil"/>
            </w:tcBorders>
            <w:shd w:val="clear" w:color="000000" w:fill="FFFFFF"/>
            <w:noWrap/>
            <w:hideMark/>
          </w:tcPr>
          <w:p w14:paraId="27779C7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1,0</w:t>
            </w:r>
          </w:p>
        </w:tc>
        <w:tc>
          <w:tcPr>
            <w:tcW w:w="554" w:type="pct"/>
            <w:tcBorders>
              <w:top w:val="nil"/>
              <w:left w:val="nil"/>
              <w:bottom w:val="single" w:sz="8" w:space="0" w:color="auto"/>
              <w:right w:val="nil"/>
            </w:tcBorders>
            <w:shd w:val="clear" w:color="000000" w:fill="FFFFFF"/>
            <w:noWrap/>
            <w:hideMark/>
          </w:tcPr>
          <w:p w14:paraId="32BB6B0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33,3</w:t>
            </w:r>
            <w:r w:rsidRPr="00367BEC">
              <w:rPr>
                <w:rFonts w:ascii="Times New Roman" w:hAnsi="Times New Roman"/>
                <w:b/>
                <w:color w:val="000000"/>
                <w:sz w:val="20"/>
                <w:vertAlign w:val="superscript"/>
              </w:rPr>
              <w:t>ii</w:t>
            </w:r>
          </w:p>
        </w:tc>
      </w:tr>
      <w:tr w:rsidR="002E4D99" w:rsidRPr="00367BEC" w14:paraId="565A610A" w14:textId="77777777" w:rsidTr="00865510">
        <w:trPr>
          <w:trHeight w:val="20"/>
        </w:trPr>
        <w:tc>
          <w:tcPr>
            <w:tcW w:w="631" w:type="pct"/>
            <w:tcBorders>
              <w:top w:val="nil"/>
              <w:left w:val="nil"/>
              <w:bottom w:val="nil"/>
              <w:right w:val="nil"/>
            </w:tcBorders>
            <w:shd w:val="clear" w:color="000000" w:fill="FFFFFF"/>
            <w:noWrap/>
            <w:hideMark/>
          </w:tcPr>
          <w:p w14:paraId="3641D71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Strick</w:t>
            </w:r>
            <w:proofErr w:type="spellEnd"/>
            <w:r w:rsidRPr="00367BEC">
              <w:rPr>
                <w:rFonts w:ascii="Times New Roman" w:hAnsi="Times New Roman"/>
                <w:color w:val="000000"/>
                <w:sz w:val="20"/>
              </w:rPr>
              <w:t xml:space="preserve"> 2014</w:t>
            </w:r>
          </w:p>
        </w:tc>
        <w:tc>
          <w:tcPr>
            <w:tcW w:w="590" w:type="pct"/>
            <w:tcBorders>
              <w:top w:val="nil"/>
              <w:left w:val="nil"/>
              <w:bottom w:val="nil"/>
              <w:right w:val="nil"/>
            </w:tcBorders>
            <w:shd w:val="clear" w:color="000000" w:fill="FFFFFF"/>
            <w:noWrap/>
            <w:hideMark/>
          </w:tcPr>
          <w:p w14:paraId="16E652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 (3 m)</w:t>
            </w:r>
          </w:p>
        </w:tc>
        <w:tc>
          <w:tcPr>
            <w:tcW w:w="1334" w:type="pct"/>
            <w:tcBorders>
              <w:top w:val="nil"/>
              <w:left w:val="nil"/>
              <w:bottom w:val="nil"/>
              <w:right w:val="nil"/>
            </w:tcBorders>
            <w:shd w:val="clear" w:color="000000" w:fill="FFFFFF"/>
            <w:noWrap/>
            <w:hideMark/>
          </w:tcPr>
          <w:p w14:paraId="1D0AC3D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del sueño EVN-11-4sem</w:t>
            </w:r>
          </w:p>
        </w:tc>
        <w:tc>
          <w:tcPr>
            <w:tcW w:w="258" w:type="pct"/>
            <w:tcBorders>
              <w:top w:val="nil"/>
              <w:left w:val="nil"/>
              <w:bottom w:val="nil"/>
              <w:right w:val="nil"/>
            </w:tcBorders>
            <w:shd w:val="clear" w:color="000000" w:fill="FFFFFF"/>
            <w:noWrap/>
            <w:hideMark/>
          </w:tcPr>
          <w:p w14:paraId="4108330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5,8</w:t>
            </w:r>
          </w:p>
        </w:tc>
        <w:tc>
          <w:tcPr>
            <w:tcW w:w="527" w:type="pct"/>
            <w:tcBorders>
              <w:top w:val="nil"/>
              <w:left w:val="nil"/>
              <w:bottom w:val="nil"/>
              <w:right w:val="nil"/>
            </w:tcBorders>
            <w:shd w:val="clear" w:color="000000" w:fill="FFFFFF"/>
            <w:noWrap/>
            <w:hideMark/>
          </w:tcPr>
          <w:p w14:paraId="729B3DA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w:t>
            </w:r>
          </w:p>
        </w:tc>
        <w:tc>
          <w:tcPr>
            <w:tcW w:w="194" w:type="pct"/>
            <w:tcBorders>
              <w:top w:val="nil"/>
              <w:left w:val="nil"/>
              <w:bottom w:val="nil"/>
              <w:right w:val="nil"/>
            </w:tcBorders>
            <w:shd w:val="clear" w:color="000000" w:fill="FFFFFF"/>
            <w:noWrap/>
            <w:hideMark/>
          </w:tcPr>
          <w:p w14:paraId="489A32B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w:t>
            </w:r>
          </w:p>
        </w:tc>
        <w:tc>
          <w:tcPr>
            <w:tcW w:w="529" w:type="pct"/>
            <w:tcBorders>
              <w:top w:val="nil"/>
              <w:left w:val="nil"/>
              <w:bottom w:val="nil"/>
              <w:right w:val="nil"/>
            </w:tcBorders>
            <w:shd w:val="clear" w:color="000000" w:fill="FFFFFF"/>
            <w:noWrap/>
            <w:hideMark/>
          </w:tcPr>
          <w:p w14:paraId="5E99B10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w:t>
            </w:r>
          </w:p>
        </w:tc>
        <w:tc>
          <w:tcPr>
            <w:tcW w:w="383" w:type="pct"/>
            <w:tcBorders>
              <w:top w:val="nil"/>
              <w:left w:val="nil"/>
              <w:bottom w:val="nil"/>
              <w:right w:val="nil"/>
            </w:tcBorders>
            <w:shd w:val="clear" w:color="000000" w:fill="FFFFFF"/>
            <w:noWrap/>
            <w:hideMark/>
          </w:tcPr>
          <w:p w14:paraId="4928A1F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w:t>
            </w:r>
          </w:p>
        </w:tc>
        <w:tc>
          <w:tcPr>
            <w:tcW w:w="554" w:type="pct"/>
            <w:tcBorders>
              <w:top w:val="nil"/>
              <w:left w:val="nil"/>
              <w:bottom w:val="nil"/>
              <w:right w:val="nil"/>
            </w:tcBorders>
            <w:shd w:val="clear" w:color="000000" w:fill="FFFFFF"/>
            <w:noWrap/>
            <w:hideMark/>
          </w:tcPr>
          <w:p w14:paraId="36D9A34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−36,2</w:t>
            </w:r>
            <w:r w:rsidRPr="00367BEC">
              <w:rPr>
                <w:rFonts w:ascii="Times New Roman" w:hAnsi="Times New Roman"/>
                <w:b/>
                <w:color w:val="000000"/>
                <w:sz w:val="20"/>
                <w:vertAlign w:val="superscript"/>
              </w:rPr>
              <w:t>iii</w:t>
            </w:r>
          </w:p>
        </w:tc>
      </w:tr>
      <w:tr w:rsidR="002E4D99" w:rsidRPr="00367BEC" w14:paraId="4FAFEA91" w14:textId="77777777" w:rsidTr="00865510">
        <w:trPr>
          <w:trHeight w:val="20"/>
        </w:trPr>
        <w:tc>
          <w:tcPr>
            <w:tcW w:w="631" w:type="pct"/>
            <w:tcBorders>
              <w:top w:val="nil"/>
              <w:left w:val="nil"/>
              <w:bottom w:val="nil"/>
              <w:right w:val="nil"/>
            </w:tcBorders>
            <w:shd w:val="clear" w:color="000000" w:fill="FFFFFF"/>
            <w:noWrap/>
            <w:hideMark/>
          </w:tcPr>
          <w:p w14:paraId="6449B2F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7A62C0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397F355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Actividad social EVN-11-4sem</w:t>
            </w:r>
          </w:p>
        </w:tc>
        <w:tc>
          <w:tcPr>
            <w:tcW w:w="258" w:type="pct"/>
            <w:tcBorders>
              <w:top w:val="nil"/>
              <w:left w:val="nil"/>
              <w:bottom w:val="nil"/>
              <w:right w:val="nil"/>
            </w:tcBorders>
            <w:shd w:val="clear" w:color="000000" w:fill="FFFFFF"/>
            <w:noWrap/>
            <w:hideMark/>
          </w:tcPr>
          <w:p w14:paraId="602DC11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6,6</w:t>
            </w:r>
          </w:p>
        </w:tc>
        <w:tc>
          <w:tcPr>
            <w:tcW w:w="527" w:type="pct"/>
            <w:tcBorders>
              <w:top w:val="nil"/>
              <w:left w:val="nil"/>
              <w:bottom w:val="nil"/>
              <w:right w:val="nil"/>
            </w:tcBorders>
            <w:shd w:val="clear" w:color="000000" w:fill="FFFFFF"/>
            <w:noWrap/>
            <w:hideMark/>
          </w:tcPr>
          <w:p w14:paraId="565566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(2,4)</w:t>
            </w:r>
          </w:p>
        </w:tc>
        <w:tc>
          <w:tcPr>
            <w:tcW w:w="194" w:type="pct"/>
            <w:tcBorders>
              <w:top w:val="nil"/>
              <w:left w:val="nil"/>
              <w:bottom w:val="nil"/>
              <w:right w:val="nil"/>
            </w:tcBorders>
            <w:shd w:val="clear" w:color="000000" w:fill="FFFFFF"/>
            <w:noWrap/>
            <w:hideMark/>
          </w:tcPr>
          <w:p w14:paraId="254CD95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4,4</w:t>
            </w:r>
          </w:p>
        </w:tc>
        <w:tc>
          <w:tcPr>
            <w:tcW w:w="529" w:type="pct"/>
            <w:tcBorders>
              <w:top w:val="nil"/>
              <w:left w:val="nil"/>
              <w:bottom w:val="nil"/>
              <w:right w:val="nil"/>
            </w:tcBorders>
            <w:shd w:val="clear" w:color="000000" w:fill="FFFFFF"/>
            <w:noWrap/>
            <w:hideMark/>
          </w:tcPr>
          <w:p w14:paraId="103B94F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(2,6)</w:t>
            </w:r>
          </w:p>
        </w:tc>
        <w:tc>
          <w:tcPr>
            <w:tcW w:w="383" w:type="pct"/>
            <w:tcBorders>
              <w:top w:val="nil"/>
              <w:left w:val="nil"/>
              <w:bottom w:val="nil"/>
              <w:right w:val="nil"/>
            </w:tcBorders>
            <w:shd w:val="clear" w:color="000000" w:fill="FFFFFF"/>
            <w:noWrap/>
            <w:hideMark/>
          </w:tcPr>
          <w:p w14:paraId="58CE62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−2,2</w:t>
            </w:r>
          </w:p>
        </w:tc>
        <w:tc>
          <w:tcPr>
            <w:tcW w:w="554" w:type="pct"/>
            <w:tcBorders>
              <w:top w:val="nil"/>
              <w:left w:val="nil"/>
              <w:bottom w:val="nil"/>
              <w:right w:val="nil"/>
            </w:tcBorders>
            <w:shd w:val="clear" w:color="000000" w:fill="FFFFFF"/>
            <w:noWrap/>
            <w:hideMark/>
          </w:tcPr>
          <w:p w14:paraId="00A4DC9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-33,3</w:t>
            </w:r>
            <w:r w:rsidRPr="00367BEC">
              <w:rPr>
                <w:rFonts w:ascii="Times New Roman" w:hAnsi="Times New Roman"/>
                <w:b/>
                <w:color w:val="000000"/>
                <w:sz w:val="20"/>
                <w:vertAlign w:val="superscript"/>
              </w:rPr>
              <w:t>iii</w:t>
            </w:r>
          </w:p>
        </w:tc>
      </w:tr>
      <w:tr w:rsidR="002E4D99" w:rsidRPr="00367BEC" w14:paraId="5248A1B8" w14:textId="77777777" w:rsidTr="00865510">
        <w:trPr>
          <w:trHeight w:val="20"/>
        </w:trPr>
        <w:tc>
          <w:tcPr>
            <w:tcW w:w="631" w:type="pct"/>
            <w:tcBorders>
              <w:top w:val="nil"/>
              <w:left w:val="nil"/>
              <w:bottom w:val="nil"/>
              <w:right w:val="nil"/>
            </w:tcBorders>
            <w:shd w:val="clear" w:color="000000" w:fill="FFFFFF"/>
            <w:noWrap/>
            <w:hideMark/>
          </w:tcPr>
          <w:p w14:paraId="2AC6A8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2243A3A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17EA7E2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Independencia EVN-11-4sem</w:t>
            </w:r>
          </w:p>
        </w:tc>
        <w:tc>
          <w:tcPr>
            <w:tcW w:w="258" w:type="pct"/>
            <w:tcBorders>
              <w:top w:val="nil"/>
              <w:left w:val="nil"/>
              <w:bottom w:val="nil"/>
              <w:right w:val="nil"/>
            </w:tcBorders>
            <w:shd w:val="clear" w:color="000000" w:fill="FFFFFF"/>
            <w:noWrap/>
            <w:hideMark/>
          </w:tcPr>
          <w:p w14:paraId="19F6B6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4,9</w:t>
            </w:r>
          </w:p>
        </w:tc>
        <w:tc>
          <w:tcPr>
            <w:tcW w:w="527" w:type="pct"/>
            <w:tcBorders>
              <w:top w:val="nil"/>
              <w:left w:val="nil"/>
              <w:bottom w:val="nil"/>
              <w:right w:val="nil"/>
            </w:tcBorders>
            <w:shd w:val="clear" w:color="000000" w:fill="FFFFFF"/>
            <w:noWrap/>
            <w:hideMark/>
          </w:tcPr>
          <w:p w14:paraId="28CCAA2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(2,7)</w:t>
            </w:r>
          </w:p>
        </w:tc>
        <w:tc>
          <w:tcPr>
            <w:tcW w:w="194" w:type="pct"/>
            <w:tcBorders>
              <w:top w:val="nil"/>
              <w:left w:val="nil"/>
              <w:bottom w:val="nil"/>
              <w:right w:val="nil"/>
            </w:tcBorders>
            <w:shd w:val="clear" w:color="000000" w:fill="FFFFFF"/>
            <w:noWrap/>
            <w:hideMark/>
          </w:tcPr>
          <w:p w14:paraId="4EA876E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w:t>
            </w:r>
          </w:p>
        </w:tc>
        <w:tc>
          <w:tcPr>
            <w:tcW w:w="529" w:type="pct"/>
            <w:tcBorders>
              <w:top w:val="nil"/>
              <w:left w:val="nil"/>
              <w:bottom w:val="nil"/>
              <w:right w:val="nil"/>
            </w:tcBorders>
            <w:shd w:val="clear" w:color="000000" w:fill="FFFFFF"/>
            <w:noWrap/>
            <w:hideMark/>
          </w:tcPr>
          <w:p w14:paraId="2FE75D5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w:t>
            </w:r>
          </w:p>
        </w:tc>
        <w:tc>
          <w:tcPr>
            <w:tcW w:w="383" w:type="pct"/>
            <w:tcBorders>
              <w:top w:val="nil"/>
              <w:left w:val="nil"/>
              <w:bottom w:val="nil"/>
              <w:right w:val="nil"/>
            </w:tcBorders>
            <w:shd w:val="clear" w:color="000000" w:fill="FFFFFF"/>
            <w:noWrap/>
            <w:hideMark/>
          </w:tcPr>
          <w:p w14:paraId="59F53E2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w:t>
            </w:r>
          </w:p>
        </w:tc>
        <w:tc>
          <w:tcPr>
            <w:tcW w:w="554" w:type="pct"/>
            <w:tcBorders>
              <w:top w:val="nil"/>
              <w:left w:val="nil"/>
              <w:bottom w:val="nil"/>
              <w:right w:val="nil"/>
            </w:tcBorders>
            <w:shd w:val="clear" w:color="000000" w:fill="FFFFFF"/>
            <w:noWrap/>
            <w:hideMark/>
          </w:tcPr>
          <w:p w14:paraId="305F478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−34,7</w:t>
            </w:r>
            <w:r w:rsidRPr="00367BEC">
              <w:rPr>
                <w:rFonts w:ascii="Times New Roman" w:hAnsi="Times New Roman"/>
                <w:b/>
                <w:color w:val="000000"/>
                <w:sz w:val="20"/>
                <w:vertAlign w:val="superscript"/>
              </w:rPr>
              <w:t>iii</w:t>
            </w:r>
          </w:p>
        </w:tc>
      </w:tr>
      <w:tr w:rsidR="002E4D99" w:rsidRPr="00367BEC" w14:paraId="5DCE4090" w14:textId="77777777" w:rsidTr="00865510">
        <w:trPr>
          <w:trHeight w:val="20"/>
        </w:trPr>
        <w:tc>
          <w:tcPr>
            <w:tcW w:w="631" w:type="pct"/>
            <w:tcBorders>
              <w:top w:val="nil"/>
              <w:left w:val="nil"/>
              <w:bottom w:val="nil"/>
              <w:right w:val="nil"/>
            </w:tcBorders>
            <w:shd w:val="clear" w:color="000000" w:fill="FFFFFF"/>
            <w:noWrap/>
            <w:hideMark/>
          </w:tcPr>
          <w:p w14:paraId="477104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4" w:space="0" w:color="E7E6E6" w:themeColor="background2"/>
              <w:right w:val="nil"/>
            </w:tcBorders>
            <w:shd w:val="clear" w:color="000000" w:fill="FFFFFF"/>
            <w:noWrap/>
            <w:hideMark/>
          </w:tcPr>
          <w:p w14:paraId="55BB427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4" w:space="0" w:color="E7E6E6" w:themeColor="background2"/>
              <w:right w:val="nil"/>
            </w:tcBorders>
            <w:shd w:val="clear" w:color="000000" w:fill="FFFFFF"/>
            <w:noWrap/>
            <w:hideMark/>
          </w:tcPr>
          <w:p w14:paraId="0BF1A79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Libido EVN-11-4sem</w:t>
            </w:r>
          </w:p>
        </w:tc>
        <w:tc>
          <w:tcPr>
            <w:tcW w:w="258" w:type="pct"/>
            <w:tcBorders>
              <w:top w:val="nil"/>
              <w:left w:val="nil"/>
              <w:bottom w:val="single" w:sz="4" w:space="0" w:color="E7E6E6" w:themeColor="background2"/>
              <w:right w:val="nil"/>
            </w:tcBorders>
            <w:shd w:val="clear" w:color="000000" w:fill="FFFFFF"/>
            <w:noWrap/>
            <w:hideMark/>
          </w:tcPr>
          <w:p w14:paraId="50B66BC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5,7</w:t>
            </w:r>
          </w:p>
        </w:tc>
        <w:tc>
          <w:tcPr>
            <w:tcW w:w="527" w:type="pct"/>
            <w:tcBorders>
              <w:top w:val="nil"/>
              <w:left w:val="nil"/>
              <w:bottom w:val="single" w:sz="4" w:space="0" w:color="E7E6E6" w:themeColor="background2"/>
              <w:right w:val="nil"/>
            </w:tcBorders>
            <w:shd w:val="clear" w:color="000000" w:fill="FFFFFF"/>
            <w:noWrap/>
            <w:hideMark/>
          </w:tcPr>
          <w:p w14:paraId="0152503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(3,6)</w:t>
            </w:r>
          </w:p>
        </w:tc>
        <w:tc>
          <w:tcPr>
            <w:tcW w:w="194" w:type="pct"/>
            <w:tcBorders>
              <w:top w:val="nil"/>
              <w:left w:val="nil"/>
              <w:bottom w:val="single" w:sz="4" w:space="0" w:color="E7E6E6" w:themeColor="background2"/>
              <w:right w:val="nil"/>
            </w:tcBorders>
            <w:shd w:val="clear" w:color="000000" w:fill="FFFFFF"/>
            <w:noWrap/>
            <w:hideMark/>
          </w:tcPr>
          <w:p w14:paraId="4DDB54E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4,5</w:t>
            </w:r>
          </w:p>
        </w:tc>
        <w:tc>
          <w:tcPr>
            <w:tcW w:w="529" w:type="pct"/>
            <w:tcBorders>
              <w:top w:val="nil"/>
              <w:left w:val="nil"/>
              <w:bottom w:val="single" w:sz="4" w:space="0" w:color="E7E6E6" w:themeColor="background2"/>
              <w:right w:val="nil"/>
            </w:tcBorders>
            <w:shd w:val="clear" w:color="000000" w:fill="FFFFFF"/>
            <w:noWrap/>
            <w:hideMark/>
          </w:tcPr>
          <w:p w14:paraId="7254C10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(3,4)</w:t>
            </w:r>
          </w:p>
        </w:tc>
        <w:tc>
          <w:tcPr>
            <w:tcW w:w="383" w:type="pct"/>
            <w:tcBorders>
              <w:top w:val="nil"/>
              <w:left w:val="nil"/>
              <w:bottom w:val="single" w:sz="4" w:space="0" w:color="E7E6E6" w:themeColor="background2"/>
              <w:right w:val="nil"/>
            </w:tcBorders>
            <w:shd w:val="clear" w:color="000000" w:fill="FFFFFF"/>
            <w:noWrap/>
            <w:hideMark/>
          </w:tcPr>
          <w:p w14:paraId="387D840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w:t>
            </w:r>
          </w:p>
        </w:tc>
        <w:tc>
          <w:tcPr>
            <w:tcW w:w="554" w:type="pct"/>
            <w:tcBorders>
              <w:top w:val="nil"/>
              <w:left w:val="nil"/>
              <w:bottom w:val="single" w:sz="4" w:space="0" w:color="E7E6E6" w:themeColor="background2"/>
              <w:right w:val="nil"/>
            </w:tcBorders>
            <w:shd w:val="clear" w:color="000000" w:fill="FFFFFF"/>
            <w:noWrap/>
            <w:hideMark/>
          </w:tcPr>
          <w:p w14:paraId="423DF434"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−21,1</w:t>
            </w:r>
            <w:r w:rsidRPr="00367BEC">
              <w:rPr>
                <w:rFonts w:ascii="Times New Roman" w:hAnsi="Times New Roman"/>
                <w:b/>
                <w:color w:val="000000"/>
                <w:sz w:val="20"/>
                <w:vertAlign w:val="superscript"/>
              </w:rPr>
              <w:t>iii</w:t>
            </w:r>
          </w:p>
        </w:tc>
      </w:tr>
      <w:tr w:rsidR="002E4D99" w:rsidRPr="00367BEC" w14:paraId="5073BADE" w14:textId="77777777" w:rsidTr="00865510">
        <w:trPr>
          <w:trHeight w:val="20"/>
        </w:trPr>
        <w:tc>
          <w:tcPr>
            <w:tcW w:w="631" w:type="pct"/>
            <w:tcBorders>
              <w:top w:val="nil"/>
              <w:left w:val="nil"/>
              <w:bottom w:val="nil"/>
              <w:right w:val="nil"/>
            </w:tcBorders>
            <w:shd w:val="clear" w:color="000000" w:fill="FFFFFF"/>
            <w:noWrap/>
            <w:hideMark/>
          </w:tcPr>
          <w:p w14:paraId="4C8FADB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single" w:sz="4" w:space="0" w:color="E7E6E6" w:themeColor="background2"/>
              <w:left w:val="nil"/>
              <w:bottom w:val="nil"/>
              <w:right w:val="nil"/>
            </w:tcBorders>
            <w:shd w:val="clear" w:color="000000" w:fill="FFFFFF"/>
            <w:noWrap/>
            <w:hideMark/>
          </w:tcPr>
          <w:p w14:paraId="3F07A09E" w14:textId="08521339"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 (12</w:t>
            </w:r>
            <w:r w:rsidR="00C7764F">
              <w:rPr>
                <w:rFonts w:ascii="Times New Roman" w:hAnsi="Times New Roman"/>
                <w:color w:val="000000"/>
                <w:sz w:val="20"/>
              </w:rPr>
              <w:t xml:space="preserve"> </w:t>
            </w:r>
            <w:r w:rsidRPr="00367BEC">
              <w:rPr>
                <w:rFonts w:ascii="Times New Roman" w:hAnsi="Times New Roman"/>
                <w:color w:val="000000"/>
                <w:sz w:val="20"/>
              </w:rPr>
              <w:t>m)</w:t>
            </w:r>
          </w:p>
        </w:tc>
        <w:tc>
          <w:tcPr>
            <w:tcW w:w="1334" w:type="pct"/>
            <w:tcBorders>
              <w:top w:val="single" w:sz="4" w:space="0" w:color="E7E6E6" w:themeColor="background2"/>
              <w:left w:val="nil"/>
              <w:bottom w:val="nil"/>
              <w:right w:val="nil"/>
            </w:tcBorders>
            <w:shd w:val="clear" w:color="000000" w:fill="FFFFFF"/>
            <w:noWrap/>
            <w:hideMark/>
          </w:tcPr>
          <w:p w14:paraId="22A9992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del sueño EVN-11-4sem</w:t>
            </w:r>
          </w:p>
        </w:tc>
        <w:tc>
          <w:tcPr>
            <w:tcW w:w="258" w:type="pct"/>
            <w:tcBorders>
              <w:top w:val="single" w:sz="4" w:space="0" w:color="E7E6E6" w:themeColor="background2"/>
              <w:left w:val="nil"/>
              <w:bottom w:val="nil"/>
              <w:right w:val="nil"/>
            </w:tcBorders>
            <w:shd w:val="clear" w:color="000000" w:fill="FFFFFF"/>
            <w:noWrap/>
            <w:hideMark/>
          </w:tcPr>
          <w:p w14:paraId="5F65392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5,9</w:t>
            </w:r>
          </w:p>
        </w:tc>
        <w:tc>
          <w:tcPr>
            <w:tcW w:w="527" w:type="pct"/>
            <w:tcBorders>
              <w:top w:val="single" w:sz="4" w:space="0" w:color="E7E6E6" w:themeColor="background2"/>
              <w:left w:val="nil"/>
              <w:bottom w:val="nil"/>
              <w:right w:val="nil"/>
            </w:tcBorders>
            <w:shd w:val="clear" w:color="000000" w:fill="FFFFFF"/>
            <w:noWrap/>
            <w:hideMark/>
          </w:tcPr>
          <w:p w14:paraId="494E215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single" w:sz="4" w:space="0" w:color="E7E6E6" w:themeColor="background2"/>
              <w:left w:val="nil"/>
              <w:bottom w:val="nil"/>
              <w:right w:val="nil"/>
            </w:tcBorders>
            <w:shd w:val="clear" w:color="000000" w:fill="FFFFFF"/>
            <w:noWrap/>
            <w:hideMark/>
          </w:tcPr>
          <w:p w14:paraId="556141A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2,8</w:t>
            </w:r>
          </w:p>
        </w:tc>
        <w:tc>
          <w:tcPr>
            <w:tcW w:w="529" w:type="pct"/>
            <w:tcBorders>
              <w:top w:val="single" w:sz="4" w:space="0" w:color="E7E6E6" w:themeColor="background2"/>
              <w:left w:val="nil"/>
              <w:bottom w:val="nil"/>
              <w:right w:val="nil"/>
            </w:tcBorders>
            <w:shd w:val="clear" w:color="000000" w:fill="FFFFFF"/>
            <w:noWrap/>
            <w:hideMark/>
          </w:tcPr>
          <w:p w14:paraId="0F21392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single" w:sz="4" w:space="0" w:color="E7E6E6" w:themeColor="background2"/>
              <w:left w:val="nil"/>
              <w:bottom w:val="nil"/>
              <w:right w:val="nil"/>
            </w:tcBorders>
            <w:shd w:val="clear" w:color="000000" w:fill="FFFFFF"/>
            <w:noWrap/>
            <w:hideMark/>
          </w:tcPr>
          <w:p w14:paraId="0899721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w:t>
            </w:r>
          </w:p>
        </w:tc>
        <w:tc>
          <w:tcPr>
            <w:tcW w:w="554" w:type="pct"/>
            <w:tcBorders>
              <w:top w:val="single" w:sz="4" w:space="0" w:color="E7E6E6" w:themeColor="background2"/>
              <w:left w:val="nil"/>
              <w:bottom w:val="nil"/>
              <w:right w:val="nil"/>
            </w:tcBorders>
            <w:shd w:val="clear" w:color="000000" w:fill="FFFFFF"/>
            <w:noWrap/>
            <w:hideMark/>
          </w:tcPr>
          <w:p w14:paraId="01B9D02B"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-52,5</w:t>
            </w:r>
            <w:r w:rsidRPr="00367BEC">
              <w:rPr>
                <w:rFonts w:ascii="Times New Roman" w:hAnsi="Times New Roman"/>
                <w:b/>
                <w:color w:val="000000"/>
                <w:sz w:val="20"/>
                <w:vertAlign w:val="superscript"/>
              </w:rPr>
              <w:t>iii</w:t>
            </w:r>
          </w:p>
        </w:tc>
      </w:tr>
      <w:tr w:rsidR="002E4D99" w:rsidRPr="00367BEC" w14:paraId="676280EC" w14:textId="77777777" w:rsidTr="00865510">
        <w:trPr>
          <w:trHeight w:val="20"/>
        </w:trPr>
        <w:tc>
          <w:tcPr>
            <w:tcW w:w="631" w:type="pct"/>
            <w:tcBorders>
              <w:top w:val="nil"/>
              <w:left w:val="nil"/>
              <w:bottom w:val="nil"/>
              <w:right w:val="nil"/>
            </w:tcBorders>
            <w:shd w:val="clear" w:color="000000" w:fill="FFFFFF"/>
            <w:noWrap/>
            <w:hideMark/>
          </w:tcPr>
          <w:p w14:paraId="02D4A7C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3336231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3EECE50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Actividad social EVN-11-4sem</w:t>
            </w:r>
          </w:p>
        </w:tc>
        <w:tc>
          <w:tcPr>
            <w:tcW w:w="258" w:type="pct"/>
            <w:tcBorders>
              <w:top w:val="nil"/>
              <w:left w:val="nil"/>
              <w:bottom w:val="nil"/>
              <w:right w:val="nil"/>
            </w:tcBorders>
            <w:shd w:val="clear" w:color="000000" w:fill="FFFFFF"/>
            <w:noWrap/>
            <w:hideMark/>
          </w:tcPr>
          <w:p w14:paraId="211A11F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6,7</w:t>
            </w:r>
          </w:p>
        </w:tc>
        <w:tc>
          <w:tcPr>
            <w:tcW w:w="527" w:type="pct"/>
            <w:tcBorders>
              <w:top w:val="nil"/>
              <w:left w:val="nil"/>
              <w:bottom w:val="nil"/>
              <w:right w:val="nil"/>
            </w:tcBorders>
            <w:shd w:val="clear" w:color="000000" w:fill="FFFFFF"/>
            <w:noWrap/>
            <w:hideMark/>
          </w:tcPr>
          <w:p w14:paraId="002FBF7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42D2164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w:t>
            </w:r>
          </w:p>
        </w:tc>
        <w:tc>
          <w:tcPr>
            <w:tcW w:w="529" w:type="pct"/>
            <w:tcBorders>
              <w:top w:val="nil"/>
              <w:left w:val="nil"/>
              <w:bottom w:val="nil"/>
              <w:right w:val="nil"/>
            </w:tcBorders>
            <w:shd w:val="clear" w:color="000000" w:fill="FFFFFF"/>
            <w:noWrap/>
            <w:hideMark/>
          </w:tcPr>
          <w:p w14:paraId="10AE2D1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nil"/>
              <w:right w:val="nil"/>
            </w:tcBorders>
            <w:shd w:val="clear" w:color="000000" w:fill="FFFFFF"/>
            <w:noWrap/>
            <w:hideMark/>
          </w:tcPr>
          <w:p w14:paraId="0503A3A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−3,5</w:t>
            </w:r>
          </w:p>
        </w:tc>
        <w:tc>
          <w:tcPr>
            <w:tcW w:w="554" w:type="pct"/>
            <w:tcBorders>
              <w:top w:val="nil"/>
              <w:left w:val="nil"/>
              <w:bottom w:val="nil"/>
              <w:right w:val="nil"/>
            </w:tcBorders>
            <w:shd w:val="clear" w:color="000000" w:fill="FFFFFF"/>
            <w:noWrap/>
            <w:hideMark/>
          </w:tcPr>
          <w:p w14:paraId="77AA9D53"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−52,2</w:t>
            </w:r>
            <w:r w:rsidRPr="00367BEC">
              <w:rPr>
                <w:rFonts w:ascii="Times New Roman" w:hAnsi="Times New Roman"/>
                <w:b/>
                <w:color w:val="000000"/>
                <w:sz w:val="20"/>
                <w:vertAlign w:val="superscript"/>
              </w:rPr>
              <w:t>iii</w:t>
            </w:r>
          </w:p>
        </w:tc>
      </w:tr>
      <w:tr w:rsidR="002E4D99" w:rsidRPr="00367BEC" w14:paraId="4F828FC8" w14:textId="77777777" w:rsidTr="00865510">
        <w:trPr>
          <w:trHeight w:val="20"/>
        </w:trPr>
        <w:tc>
          <w:tcPr>
            <w:tcW w:w="631" w:type="pct"/>
            <w:tcBorders>
              <w:top w:val="nil"/>
              <w:left w:val="nil"/>
              <w:bottom w:val="nil"/>
              <w:right w:val="nil"/>
            </w:tcBorders>
            <w:shd w:val="clear" w:color="000000" w:fill="FFFFFF"/>
            <w:noWrap/>
            <w:hideMark/>
          </w:tcPr>
          <w:p w14:paraId="48F8BCA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096ACB4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610556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Independencia EVN-11-4sem</w:t>
            </w:r>
          </w:p>
        </w:tc>
        <w:tc>
          <w:tcPr>
            <w:tcW w:w="258" w:type="pct"/>
            <w:tcBorders>
              <w:top w:val="nil"/>
              <w:left w:val="nil"/>
              <w:bottom w:val="nil"/>
              <w:right w:val="nil"/>
            </w:tcBorders>
            <w:shd w:val="clear" w:color="000000" w:fill="FFFFFF"/>
            <w:noWrap/>
            <w:hideMark/>
          </w:tcPr>
          <w:p w14:paraId="24E1F74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4,9</w:t>
            </w:r>
          </w:p>
        </w:tc>
        <w:tc>
          <w:tcPr>
            <w:tcW w:w="527" w:type="pct"/>
            <w:tcBorders>
              <w:top w:val="nil"/>
              <w:left w:val="nil"/>
              <w:bottom w:val="nil"/>
              <w:right w:val="nil"/>
            </w:tcBorders>
            <w:shd w:val="clear" w:color="000000" w:fill="FFFFFF"/>
            <w:noWrap/>
            <w:hideMark/>
          </w:tcPr>
          <w:p w14:paraId="0BD787C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6681A1B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2,3</w:t>
            </w:r>
          </w:p>
        </w:tc>
        <w:tc>
          <w:tcPr>
            <w:tcW w:w="529" w:type="pct"/>
            <w:tcBorders>
              <w:top w:val="nil"/>
              <w:left w:val="nil"/>
              <w:bottom w:val="nil"/>
              <w:right w:val="nil"/>
            </w:tcBorders>
            <w:shd w:val="clear" w:color="000000" w:fill="FFFFFF"/>
            <w:noWrap/>
            <w:hideMark/>
          </w:tcPr>
          <w:p w14:paraId="1626701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nil"/>
              <w:right w:val="nil"/>
            </w:tcBorders>
            <w:shd w:val="clear" w:color="000000" w:fill="FFFFFF"/>
            <w:noWrap/>
            <w:hideMark/>
          </w:tcPr>
          <w:p w14:paraId="5BA7883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−2,6</w:t>
            </w:r>
          </w:p>
        </w:tc>
        <w:tc>
          <w:tcPr>
            <w:tcW w:w="554" w:type="pct"/>
            <w:tcBorders>
              <w:top w:val="nil"/>
              <w:left w:val="nil"/>
              <w:bottom w:val="nil"/>
              <w:right w:val="nil"/>
            </w:tcBorders>
            <w:shd w:val="clear" w:color="000000" w:fill="FFFFFF"/>
            <w:noWrap/>
            <w:hideMark/>
          </w:tcPr>
          <w:p w14:paraId="45224A20"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−53,1</w:t>
            </w:r>
            <w:r w:rsidRPr="00367BEC">
              <w:rPr>
                <w:rFonts w:ascii="Times New Roman" w:hAnsi="Times New Roman"/>
                <w:b/>
                <w:color w:val="000000"/>
                <w:sz w:val="20"/>
                <w:vertAlign w:val="superscript"/>
              </w:rPr>
              <w:t>iii</w:t>
            </w:r>
          </w:p>
        </w:tc>
      </w:tr>
      <w:tr w:rsidR="002E4D99" w:rsidRPr="00367BEC" w14:paraId="1D2243A2" w14:textId="77777777" w:rsidTr="00865510">
        <w:trPr>
          <w:trHeight w:val="20"/>
        </w:trPr>
        <w:tc>
          <w:tcPr>
            <w:tcW w:w="631" w:type="pct"/>
            <w:tcBorders>
              <w:top w:val="nil"/>
              <w:left w:val="nil"/>
              <w:bottom w:val="single" w:sz="8" w:space="0" w:color="auto"/>
              <w:right w:val="nil"/>
            </w:tcBorders>
            <w:shd w:val="clear" w:color="000000" w:fill="FFFFFF"/>
            <w:noWrap/>
            <w:hideMark/>
          </w:tcPr>
          <w:p w14:paraId="5ED2C3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8" w:space="0" w:color="auto"/>
              <w:right w:val="nil"/>
            </w:tcBorders>
            <w:shd w:val="clear" w:color="000000" w:fill="FFFFFF"/>
            <w:noWrap/>
            <w:hideMark/>
          </w:tcPr>
          <w:p w14:paraId="56A4AE2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8" w:space="0" w:color="auto"/>
              <w:right w:val="nil"/>
            </w:tcBorders>
            <w:shd w:val="clear" w:color="000000" w:fill="FFFFFF"/>
            <w:noWrap/>
            <w:hideMark/>
          </w:tcPr>
          <w:p w14:paraId="06BA9F6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Libido EVN-11-4sem</w:t>
            </w:r>
          </w:p>
        </w:tc>
        <w:tc>
          <w:tcPr>
            <w:tcW w:w="258" w:type="pct"/>
            <w:tcBorders>
              <w:top w:val="nil"/>
              <w:left w:val="nil"/>
              <w:bottom w:val="single" w:sz="8" w:space="0" w:color="auto"/>
              <w:right w:val="nil"/>
            </w:tcBorders>
            <w:shd w:val="clear" w:color="000000" w:fill="FFFFFF"/>
            <w:noWrap/>
            <w:hideMark/>
          </w:tcPr>
          <w:p w14:paraId="408329C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5,8</w:t>
            </w:r>
          </w:p>
        </w:tc>
        <w:tc>
          <w:tcPr>
            <w:tcW w:w="527" w:type="pct"/>
            <w:tcBorders>
              <w:top w:val="nil"/>
              <w:left w:val="nil"/>
              <w:bottom w:val="single" w:sz="8" w:space="0" w:color="auto"/>
              <w:right w:val="nil"/>
            </w:tcBorders>
            <w:shd w:val="clear" w:color="000000" w:fill="FFFFFF"/>
            <w:noWrap/>
            <w:hideMark/>
          </w:tcPr>
          <w:p w14:paraId="02E7C4C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single" w:sz="8" w:space="0" w:color="auto"/>
              <w:right w:val="nil"/>
            </w:tcBorders>
            <w:shd w:val="clear" w:color="000000" w:fill="FFFFFF"/>
            <w:noWrap/>
            <w:hideMark/>
          </w:tcPr>
          <w:p w14:paraId="1075440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w:t>
            </w:r>
          </w:p>
        </w:tc>
        <w:tc>
          <w:tcPr>
            <w:tcW w:w="529" w:type="pct"/>
            <w:tcBorders>
              <w:top w:val="nil"/>
              <w:left w:val="nil"/>
              <w:bottom w:val="single" w:sz="8" w:space="0" w:color="auto"/>
              <w:right w:val="nil"/>
            </w:tcBorders>
            <w:shd w:val="clear" w:color="000000" w:fill="FFFFFF"/>
            <w:noWrap/>
            <w:hideMark/>
          </w:tcPr>
          <w:p w14:paraId="7DBEFDA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single" w:sz="8" w:space="0" w:color="auto"/>
              <w:right w:val="nil"/>
            </w:tcBorders>
            <w:shd w:val="clear" w:color="000000" w:fill="FFFFFF"/>
            <w:noWrap/>
            <w:hideMark/>
          </w:tcPr>
          <w:p w14:paraId="231518D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−2,6</w:t>
            </w:r>
          </w:p>
        </w:tc>
        <w:tc>
          <w:tcPr>
            <w:tcW w:w="554" w:type="pct"/>
            <w:tcBorders>
              <w:top w:val="nil"/>
              <w:left w:val="nil"/>
              <w:bottom w:val="single" w:sz="8" w:space="0" w:color="auto"/>
              <w:right w:val="nil"/>
            </w:tcBorders>
            <w:shd w:val="clear" w:color="000000" w:fill="FFFFFF"/>
            <w:noWrap/>
            <w:hideMark/>
          </w:tcPr>
          <w:p w14:paraId="7B6642E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−44,8</w:t>
            </w:r>
            <w:r w:rsidRPr="00367BEC">
              <w:rPr>
                <w:rFonts w:ascii="Times New Roman" w:hAnsi="Times New Roman"/>
                <w:b/>
                <w:color w:val="000000"/>
                <w:sz w:val="20"/>
                <w:vertAlign w:val="superscript"/>
              </w:rPr>
              <w:t>iii</w:t>
            </w:r>
          </w:p>
        </w:tc>
      </w:tr>
      <w:tr w:rsidR="002E4D99" w:rsidRPr="00367BEC" w14:paraId="3056F39C" w14:textId="77777777" w:rsidTr="00865510">
        <w:trPr>
          <w:trHeight w:val="20"/>
        </w:trPr>
        <w:tc>
          <w:tcPr>
            <w:tcW w:w="631" w:type="pct"/>
            <w:tcBorders>
              <w:top w:val="nil"/>
              <w:left w:val="nil"/>
              <w:bottom w:val="nil"/>
              <w:right w:val="nil"/>
            </w:tcBorders>
            <w:shd w:val="clear" w:color="000000" w:fill="FFFFFF"/>
            <w:noWrap/>
            <w:hideMark/>
          </w:tcPr>
          <w:p w14:paraId="468966E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Schwittay</w:t>
            </w:r>
            <w:proofErr w:type="spellEnd"/>
            <w:r w:rsidRPr="00367BEC">
              <w:rPr>
                <w:rFonts w:ascii="Times New Roman" w:hAnsi="Times New Roman"/>
                <w:color w:val="000000"/>
                <w:sz w:val="20"/>
              </w:rPr>
              <w:t xml:space="preserve"> 2013</w:t>
            </w:r>
          </w:p>
        </w:tc>
        <w:tc>
          <w:tcPr>
            <w:tcW w:w="590" w:type="pct"/>
            <w:tcBorders>
              <w:top w:val="nil"/>
              <w:left w:val="nil"/>
              <w:bottom w:val="nil"/>
              <w:right w:val="nil"/>
            </w:tcBorders>
            <w:shd w:val="clear" w:color="000000" w:fill="FFFFFF"/>
            <w:noWrap/>
            <w:hideMark/>
          </w:tcPr>
          <w:p w14:paraId="203DAFF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334" w:type="pct"/>
            <w:tcBorders>
              <w:top w:val="nil"/>
              <w:left w:val="nil"/>
              <w:bottom w:val="nil"/>
              <w:right w:val="nil"/>
            </w:tcBorders>
            <w:shd w:val="clear" w:color="000000" w:fill="FFFFFF"/>
            <w:noWrap/>
            <w:hideMark/>
          </w:tcPr>
          <w:p w14:paraId="79938C5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del sueño EVN-11-4sem</w:t>
            </w:r>
          </w:p>
        </w:tc>
        <w:tc>
          <w:tcPr>
            <w:tcW w:w="258" w:type="pct"/>
            <w:tcBorders>
              <w:top w:val="nil"/>
              <w:left w:val="nil"/>
              <w:bottom w:val="nil"/>
              <w:right w:val="nil"/>
            </w:tcBorders>
            <w:shd w:val="clear" w:color="000000" w:fill="FFFFFF"/>
            <w:noWrap/>
            <w:hideMark/>
          </w:tcPr>
          <w:p w14:paraId="2C7BACA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6,1</w:t>
            </w:r>
          </w:p>
        </w:tc>
        <w:tc>
          <w:tcPr>
            <w:tcW w:w="527" w:type="pct"/>
            <w:tcBorders>
              <w:top w:val="nil"/>
              <w:left w:val="nil"/>
              <w:bottom w:val="nil"/>
              <w:right w:val="nil"/>
            </w:tcBorders>
            <w:shd w:val="clear" w:color="000000" w:fill="FFFFFF"/>
            <w:noWrap/>
            <w:hideMark/>
          </w:tcPr>
          <w:p w14:paraId="1F9ACA8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105934D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2,8</w:t>
            </w:r>
          </w:p>
        </w:tc>
        <w:tc>
          <w:tcPr>
            <w:tcW w:w="529" w:type="pct"/>
            <w:tcBorders>
              <w:top w:val="nil"/>
              <w:left w:val="nil"/>
              <w:bottom w:val="nil"/>
              <w:right w:val="nil"/>
            </w:tcBorders>
            <w:shd w:val="clear" w:color="000000" w:fill="FFFFFF"/>
            <w:noWrap/>
            <w:hideMark/>
          </w:tcPr>
          <w:p w14:paraId="494C65E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w:t>
            </w:r>
          </w:p>
        </w:tc>
        <w:tc>
          <w:tcPr>
            <w:tcW w:w="383" w:type="pct"/>
            <w:tcBorders>
              <w:top w:val="nil"/>
              <w:left w:val="nil"/>
              <w:bottom w:val="nil"/>
              <w:right w:val="nil"/>
            </w:tcBorders>
            <w:shd w:val="clear" w:color="000000" w:fill="FFFFFF"/>
            <w:noWrap/>
            <w:hideMark/>
          </w:tcPr>
          <w:p w14:paraId="12EF4F2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w:t>
            </w:r>
          </w:p>
        </w:tc>
        <w:tc>
          <w:tcPr>
            <w:tcW w:w="554" w:type="pct"/>
            <w:tcBorders>
              <w:top w:val="nil"/>
              <w:left w:val="nil"/>
              <w:bottom w:val="nil"/>
              <w:right w:val="nil"/>
            </w:tcBorders>
            <w:shd w:val="clear" w:color="000000" w:fill="FFFFFF"/>
            <w:noWrap/>
            <w:hideMark/>
          </w:tcPr>
          <w:p w14:paraId="01BC5008"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−52,5</w:t>
            </w:r>
            <w:r w:rsidRPr="00367BEC">
              <w:rPr>
                <w:rFonts w:ascii="Times New Roman" w:hAnsi="Times New Roman"/>
                <w:b/>
                <w:color w:val="000000"/>
                <w:sz w:val="20"/>
                <w:vertAlign w:val="superscript"/>
              </w:rPr>
              <w:t>iii</w:t>
            </w:r>
          </w:p>
        </w:tc>
      </w:tr>
      <w:tr w:rsidR="002E4D99" w:rsidRPr="00367BEC" w14:paraId="69C51862" w14:textId="77777777" w:rsidTr="00865510">
        <w:trPr>
          <w:trHeight w:val="20"/>
        </w:trPr>
        <w:tc>
          <w:tcPr>
            <w:tcW w:w="631" w:type="pct"/>
            <w:tcBorders>
              <w:top w:val="nil"/>
              <w:left w:val="nil"/>
              <w:bottom w:val="nil"/>
              <w:right w:val="nil"/>
            </w:tcBorders>
            <w:shd w:val="clear" w:color="000000" w:fill="FFFFFF"/>
            <w:noWrap/>
            <w:hideMark/>
          </w:tcPr>
          <w:p w14:paraId="12CC841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4AF322D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6C8D7C4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Actividad social EVN-11-4sem</w:t>
            </w:r>
          </w:p>
        </w:tc>
        <w:tc>
          <w:tcPr>
            <w:tcW w:w="258" w:type="pct"/>
            <w:tcBorders>
              <w:top w:val="nil"/>
              <w:left w:val="nil"/>
              <w:bottom w:val="nil"/>
              <w:right w:val="nil"/>
            </w:tcBorders>
            <w:shd w:val="clear" w:color="000000" w:fill="FFFFFF"/>
            <w:noWrap/>
            <w:hideMark/>
          </w:tcPr>
          <w:p w14:paraId="0AE6BE7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7,2</w:t>
            </w:r>
          </w:p>
        </w:tc>
        <w:tc>
          <w:tcPr>
            <w:tcW w:w="527" w:type="pct"/>
            <w:tcBorders>
              <w:top w:val="nil"/>
              <w:left w:val="nil"/>
              <w:bottom w:val="nil"/>
              <w:right w:val="nil"/>
            </w:tcBorders>
            <w:shd w:val="clear" w:color="000000" w:fill="FFFFFF"/>
            <w:noWrap/>
            <w:hideMark/>
          </w:tcPr>
          <w:p w14:paraId="5126888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4E50184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w:t>
            </w:r>
          </w:p>
        </w:tc>
        <w:tc>
          <w:tcPr>
            <w:tcW w:w="529" w:type="pct"/>
            <w:tcBorders>
              <w:top w:val="nil"/>
              <w:left w:val="nil"/>
              <w:bottom w:val="nil"/>
              <w:right w:val="nil"/>
            </w:tcBorders>
            <w:shd w:val="clear" w:color="000000" w:fill="FFFFFF"/>
            <w:noWrap/>
            <w:hideMark/>
          </w:tcPr>
          <w:p w14:paraId="71BF49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w:t>
            </w:r>
          </w:p>
        </w:tc>
        <w:tc>
          <w:tcPr>
            <w:tcW w:w="383" w:type="pct"/>
            <w:tcBorders>
              <w:top w:val="nil"/>
              <w:left w:val="nil"/>
              <w:bottom w:val="nil"/>
              <w:right w:val="nil"/>
            </w:tcBorders>
            <w:shd w:val="clear" w:color="000000" w:fill="FFFFFF"/>
            <w:noWrap/>
            <w:hideMark/>
          </w:tcPr>
          <w:p w14:paraId="5271F12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−3,5</w:t>
            </w:r>
          </w:p>
        </w:tc>
        <w:tc>
          <w:tcPr>
            <w:tcW w:w="554" w:type="pct"/>
            <w:tcBorders>
              <w:top w:val="nil"/>
              <w:left w:val="nil"/>
              <w:bottom w:val="nil"/>
              <w:right w:val="nil"/>
            </w:tcBorders>
            <w:shd w:val="clear" w:color="000000" w:fill="FFFFFF"/>
            <w:noWrap/>
            <w:hideMark/>
          </w:tcPr>
          <w:p w14:paraId="783D7BD8"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−48,6</w:t>
            </w:r>
            <w:r w:rsidRPr="00367BEC">
              <w:rPr>
                <w:rFonts w:ascii="Times New Roman" w:hAnsi="Times New Roman"/>
                <w:b/>
                <w:color w:val="000000"/>
                <w:sz w:val="20"/>
                <w:vertAlign w:val="superscript"/>
              </w:rPr>
              <w:t>iii</w:t>
            </w:r>
          </w:p>
        </w:tc>
      </w:tr>
      <w:tr w:rsidR="002E4D99" w:rsidRPr="00367BEC" w14:paraId="108F1BB2" w14:textId="77777777" w:rsidTr="00865510">
        <w:trPr>
          <w:trHeight w:val="20"/>
        </w:trPr>
        <w:tc>
          <w:tcPr>
            <w:tcW w:w="631" w:type="pct"/>
            <w:tcBorders>
              <w:top w:val="nil"/>
              <w:left w:val="nil"/>
              <w:bottom w:val="nil"/>
              <w:right w:val="nil"/>
            </w:tcBorders>
            <w:shd w:val="clear" w:color="000000" w:fill="FFFFFF"/>
            <w:noWrap/>
            <w:hideMark/>
          </w:tcPr>
          <w:p w14:paraId="49455ED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05532B0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62A680B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Independencia EVN-11-4sem</w:t>
            </w:r>
          </w:p>
        </w:tc>
        <w:tc>
          <w:tcPr>
            <w:tcW w:w="258" w:type="pct"/>
            <w:tcBorders>
              <w:top w:val="nil"/>
              <w:left w:val="nil"/>
              <w:bottom w:val="nil"/>
              <w:right w:val="nil"/>
            </w:tcBorders>
            <w:shd w:val="clear" w:color="000000" w:fill="FFFFFF"/>
            <w:noWrap/>
            <w:hideMark/>
          </w:tcPr>
          <w:p w14:paraId="28A59A4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5,9</w:t>
            </w:r>
          </w:p>
        </w:tc>
        <w:tc>
          <w:tcPr>
            <w:tcW w:w="527" w:type="pct"/>
            <w:tcBorders>
              <w:top w:val="nil"/>
              <w:left w:val="nil"/>
              <w:bottom w:val="nil"/>
              <w:right w:val="nil"/>
            </w:tcBorders>
            <w:shd w:val="clear" w:color="000000" w:fill="FFFFFF"/>
            <w:noWrap/>
            <w:hideMark/>
          </w:tcPr>
          <w:p w14:paraId="741CFB9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16ECF9F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w:t>
            </w:r>
          </w:p>
        </w:tc>
        <w:tc>
          <w:tcPr>
            <w:tcW w:w="529" w:type="pct"/>
            <w:tcBorders>
              <w:top w:val="nil"/>
              <w:left w:val="nil"/>
              <w:bottom w:val="nil"/>
              <w:right w:val="nil"/>
            </w:tcBorders>
            <w:shd w:val="clear" w:color="000000" w:fill="FFFFFF"/>
            <w:noWrap/>
            <w:hideMark/>
          </w:tcPr>
          <w:p w14:paraId="1C3D78F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(2,4)</w:t>
            </w:r>
          </w:p>
        </w:tc>
        <w:tc>
          <w:tcPr>
            <w:tcW w:w="383" w:type="pct"/>
            <w:tcBorders>
              <w:top w:val="nil"/>
              <w:left w:val="nil"/>
              <w:bottom w:val="nil"/>
              <w:right w:val="nil"/>
            </w:tcBorders>
            <w:shd w:val="clear" w:color="000000" w:fill="FFFFFF"/>
            <w:noWrap/>
            <w:hideMark/>
          </w:tcPr>
          <w:p w14:paraId="7D56F44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−2,8</w:t>
            </w:r>
          </w:p>
        </w:tc>
        <w:tc>
          <w:tcPr>
            <w:tcW w:w="554" w:type="pct"/>
            <w:tcBorders>
              <w:top w:val="nil"/>
              <w:left w:val="nil"/>
              <w:bottom w:val="nil"/>
              <w:right w:val="nil"/>
            </w:tcBorders>
            <w:shd w:val="clear" w:color="000000" w:fill="FFFFFF"/>
            <w:noWrap/>
            <w:hideMark/>
          </w:tcPr>
          <w:p w14:paraId="0BE5F90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−47,5</w:t>
            </w:r>
            <w:r w:rsidRPr="00367BEC">
              <w:rPr>
                <w:rFonts w:ascii="Times New Roman" w:hAnsi="Times New Roman"/>
                <w:b/>
                <w:color w:val="000000"/>
                <w:sz w:val="20"/>
                <w:vertAlign w:val="superscript"/>
              </w:rPr>
              <w:t>iii</w:t>
            </w:r>
          </w:p>
        </w:tc>
      </w:tr>
      <w:tr w:rsidR="002E4D99" w:rsidRPr="00367BEC" w14:paraId="62E044CF" w14:textId="77777777" w:rsidTr="00865510">
        <w:trPr>
          <w:trHeight w:val="20"/>
        </w:trPr>
        <w:tc>
          <w:tcPr>
            <w:tcW w:w="631" w:type="pct"/>
            <w:tcBorders>
              <w:top w:val="nil"/>
              <w:left w:val="nil"/>
              <w:bottom w:val="single" w:sz="8" w:space="0" w:color="auto"/>
              <w:right w:val="nil"/>
            </w:tcBorders>
            <w:shd w:val="clear" w:color="000000" w:fill="FFFFFF"/>
            <w:noWrap/>
            <w:hideMark/>
          </w:tcPr>
          <w:p w14:paraId="5D263E3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8" w:space="0" w:color="auto"/>
              <w:right w:val="nil"/>
            </w:tcBorders>
            <w:shd w:val="clear" w:color="000000" w:fill="FFFFFF"/>
            <w:noWrap/>
            <w:hideMark/>
          </w:tcPr>
          <w:p w14:paraId="1F2D0FC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8" w:space="0" w:color="auto"/>
              <w:right w:val="nil"/>
            </w:tcBorders>
            <w:shd w:val="clear" w:color="000000" w:fill="FFFFFF"/>
            <w:noWrap/>
            <w:hideMark/>
          </w:tcPr>
          <w:p w14:paraId="1EC2482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Libido EVN-11-4sem</w:t>
            </w:r>
          </w:p>
        </w:tc>
        <w:tc>
          <w:tcPr>
            <w:tcW w:w="258" w:type="pct"/>
            <w:tcBorders>
              <w:top w:val="nil"/>
              <w:left w:val="nil"/>
              <w:bottom w:val="single" w:sz="8" w:space="0" w:color="auto"/>
              <w:right w:val="nil"/>
            </w:tcBorders>
            <w:shd w:val="clear" w:color="000000" w:fill="FFFFFF"/>
            <w:noWrap/>
            <w:hideMark/>
          </w:tcPr>
          <w:p w14:paraId="1E57401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6,5</w:t>
            </w:r>
          </w:p>
        </w:tc>
        <w:tc>
          <w:tcPr>
            <w:tcW w:w="527" w:type="pct"/>
            <w:tcBorders>
              <w:top w:val="nil"/>
              <w:left w:val="nil"/>
              <w:bottom w:val="single" w:sz="8" w:space="0" w:color="auto"/>
              <w:right w:val="nil"/>
            </w:tcBorders>
            <w:shd w:val="clear" w:color="000000" w:fill="FFFFFF"/>
            <w:noWrap/>
            <w:hideMark/>
          </w:tcPr>
          <w:p w14:paraId="1441604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single" w:sz="8" w:space="0" w:color="auto"/>
              <w:right w:val="nil"/>
            </w:tcBorders>
            <w:shd w:val="clear" w:color="000000" w:fill="FFFFFF"/>
            <w:noWrap/>
            <w:hideMark/>
          </w:tcPr>
          <w:p w14:paraId="2B16918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4,5</w:t>
            </w:r>
          </w:p>
        </w:tc>
        <w:tc>
          <w:tcPr>
            <w:tcW w:w="529" w:type="pct"/>
            <w:tcBorders>
              <w:top w:val="nil"/>
              <w:left w:val="nil"/>
              <w:bottom w:val="single" w:sz="8" w:space="0" w:color="auto"/>
              <w:right w:val="nil"/>
            </w:tcBorders>
            <w:shd w:val="clear" w:color="000000" w:fill="FFFFFF"/>
            <w:noWrap/>
            <w:hideMark/>
          </w:tcPr>
          <w:p w14:paraId="1BD9C1C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(3,4)</w:t>
            </w:r>
          </w:p>
        </w:tc>
        <w:tc>
          <w:tcPr>
            <w:tcW w:w="383" w:type="pct"/>
            <w:tcBorders>
              <w:top w:val="nil"/>
              <w:left w:val="nil"/>
              <w:bottom w:val="single" w:sz="8" w:space="0" w:color="auto"/>
              <w:right w:val="nil"/>
            </w:tcBorders>
            <w:shd w:val="clear" w:color="000000" w:fill="FFFFFF"/>
            <w:noWrap/>
            <w:hideMark/>
          </w:tcPr>
          <w:p w14:paraId="0BECECE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w:t>
            </w:r>
          </w:p>
        </w:tc>
        <w:tc>
          <w:tcPr>
            <w:tcW w:w="554" w:type="pct"/>
            <w:tcBorders>
              <w:top w:val="nil"/>
              <w:left w:val="nil"/>
              <w:bottom w:val="single" w:sz="8" w:space="0" w:color="auto"/>
              <w:right w:val="nil"/>
            </w:tcBorders>
            <w:shd w:val="clear" w:color="000000" w:fill="FFFFFF"/>
            <w:noWrap/>
            <w:hideMark/>
          </w:tcPr>
          <w:p w14:paraId="1B49376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−30,8</w:t>
            </w:r>
            <w:r w:rsidRPr="00367BEC">
              <w:rPr>
                <w:rFonts w:ascii="Times New Roman" w:hAnsi="Times New Roman"/>
                <w:b/>
                <w:color w:val="000000"/>
                <w:sz w:val="20"/>
                <w:vertAlign w:val="superscript"/>
              </w:rPr>
              <w:t>iii</w:t>
            </w:r>
          </w:p>
        </w:tc>
      </w:tr>
      <w:tr w:rsidR="002E4D99" w:rsidRPr="00367BEC" w14:paraId="5BF77070" w14:textId="77777777" w:rsidTr="00865510">
        <w:trPr>
          <w:trHeight w:val="20"/>
        </w:trPr>
        <w:tc>
          <w:tcPr>
            <w:tcW w:w="631" w:type="pct"/>
            <w:tcBorders>
              <w:top w:val="nil"/>
              <w:left w:val="nil"/>
              <w:bottom w:val="nil"/>
              <w:right w:val="nil"/>
            </w:tcBorders>
            <w:shd w:val="clear" w:color="000000" w:fill="FFFFFF"/>
            <w:noWrap/>
            <w:hideMark/>
          </w:tcPr>
          <w:p w14:paraId="50BCAED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Brunetti 2016</w:t>
            </w:r>
          </w:p>
        </w:tc>
        <w:tc>
          <w:tcPr>
            <w:tcW w:w="590" w:type="pct"/>
            <w:tcBorders>
              <w:top w:val="nil"/>
              <w:left w:val="nil"/>
              <w:bottom w:val="nil"/>
              <w:right w:val="nil"/>
            </w:tcBorders>
            <w:shd w:val="clear" w:color="000000" w:fill="FFFFFF"/>
            <w:noWrap/>
            <w:hideMark/>
          </w:tcPr>
          <w:p w14:paraId="718C285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334" w:type="pct"/>
            <w:tcBorders>
              <w:top w:val="nil"/>
              <w:left w:val="nil"/>
              <w:bottom w:val="nil"/>
              <w:right w:val="nil"/>
            </w:tcBorders>
            <w:shd w:val="clear" w:color="000000" w:fill="FFFFFF"/>
            <w:noWrap/>
            <w:hideMark/>
          </w:tcPr>
          <w:p w14:paraId="28F3D72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del sueño (4 apartados)</w:t>
            </w:r>
          </w:p>
        </w:tc>
        <w:tc>
          <w:tcPr>
            <w:tcW w:w="258" w:type="pct"/>
            <w:tcBorders>
              <w:top w:val="nil"/>
              <w:left w:val="nil"/>
              <w:bottom w:val="nil"/>
              <w:right w:val="nil"/>
            </w:tcBorders>
            <w:shd w:val="clear" w:color="000000" w:fill="FFFFFF"/>
            <w:noWrap/>
            <w:hideMark/>
          </w:tcPr>
          <w:p w14:paraId="2D92260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7" w:type="pct"/>
            <w:tcBorders>
              <w:top w:val="nil"/>
              <w:left w:val="nil"/>
              <w:bottom w:val="nil"/>
              <w:right w:val="nil"/>
            </w:tcBorders>
            <w:shd w:val="clear" w:color="000000" w:fill="FFFFFF"/>
            <w:noWrap/>
            <w:hideMark/>
          </w:tcPr>
          <w:p w14:paraId="5AC97DC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7EEA63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9" w:type="pct"/>
            <w:tcBorders>
              <w:top w:val="nil"/>
              <w:left w:val="nil"/>
              <w:bottom w:val="nil"/>
              <w:right w:val="nil"/>
            </w:tcBorders>
            <w:shd w:val="clear" w:color="000000" w:fill="FFFFFF"/>
            <w:noWrap/>
            <w:hideMark/>
          </w:tcPr>
          <w:p w14:paraId="00F9FD8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nil"/>
              <w:right w:val="nil"/>
            </w:tcBorders>
            <w:shd w:val="clear" w:color="000000" w:fill="FFFFFF"/>
            <w:noWrap/>
            <w:hideMark/>
          </w:tcPr>
          <w:p w14:paraId="117FEDB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54" w:type="pct"/>
            <w:tcBorders>
              <w:top w:val="nil"/>
              <w:left w:val="nil"/>
              <w:bottom w:val="nil"/>
              <w:right w:val="nil"/>
            </w:tcBorders>
            <w:shd w:val="clear" w:color="000000" w:fill="FFFFFF"/>
            <w:noWrap/>
            <w:hideMark/>
          </w:tcPr>
          <w:p w14:paraId="73CEB4B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Mejora</w:t>
            </w:r>
            <w:r w:rsidRPr="00367BEC">
              <w:rPr>
                <w:rFonts w:ascii="Times New Roman" w:hAnsi="Times New Roman"/>
                <w:b/>
                <w:color w:val="000000"/>
                <w:sz w:val="20"/>
                <w:vertAlign w:val="superscript"/>
              </w:rPr>
              <w:t>ii</w:t>
            </w:r>
            <w:proofErr w:type="spellEnd"/>
          </w:p>
        </w:tc>
      </w:tr>
      <w:tr w:rsidR="002E4D99" w:rsidRPr="00367BEC" w14:paraId="15EB99F1" w14:textId="77777777" w:rsidTr="00865510">
        <w:trPr>
          <w:trHeight w:val="20"/>
        </w:trPr>
        <w:tc>
          <w:tcPr>
            <w:tcW w:w="631" w:type="pct"/>
            <w:tcBorders>
              <w:top w:val="nil"/>
              <w:left w:val="nil"/>
              <w:bottom w:val="nil"/>
              <w:right w:val="nil"/>
            </w:tcBorders>
            <w:shd w:val="clear" w:color="000000" w:fill="FFFFFF"/>
            <w:noWrap/>
            <w:hideMark/>
          </w:tcPr>
          <w:p w14:paraId="3EA1517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4DBF988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4A4B396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MDASI carga de los síntomas</w:t>
            </w:r>
          </w:p>
        </w:tc>
        <w:tc>
          <w:tcPr>
            <w:tcW w:w="258" w:type="pct"/>
            <w:tcBorders>
              <w:top w:val="nil"/>
              <w:left w:val="nil"/>
              <w:bottom w:val="nil"/>
              <w:right w:val="nil"/>
            </w:tcBorders>
            <w:shd w:val="clear" w:color="000000" w:fill="FFFFFF"/>
            <w:noWrap/>
            <w:hideMark/>
          </w:tcPr>
          <w:p w14:paraId="42E5ED6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7" w:type="pct"/>
            <w:tcBorders>
              <w:top w:val="nil"/>
              <w:left w:val="nil"/>
              <w:bottom w:val="nil"/>
              <w:right w:val="nil"/>
            </w:tcBorders>
            <w:shd w:val="clear" w:color="000000" w:fill="FFFFFF"/>
            <w:noWrap/>
            <w:hideMark/>
          </w:tcPr>
          <w:p w14:paraId="09D138C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3A7AD74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9" w:type="pct"/>
            <w:tcBorders>
              <w:top w:val="nil"/>
              <w:left w:val="nil"/>
              <w:bottom w:val="nil"/>
              <w:right w:val="nil"/>
            </w:tcBorders>
            <w:shd w:val="clear" w:color="000000" w:fill="FFFFFF"/>
            <w:noWrap/>
            <w:hideMark/>
          </w:tcPr>
          <w:p w14:paraId="15A2454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nil"/>
              <w:right w:val="nil"/>
            </w:tcBorders>
            <w:shd w:val="clear" w:color="000000" w:fill="FFFFFF"/>
            <w:noWrap/>
            <w:hideMark/>
          </w:tcPr>
          <w:p w14:paraId="0D4826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54" w:type="pct"/>
            <w:tcBorders>
              <w:top w:val="nil"/>
              <w:left w:val="nil"/>
              <w:bottom w:val="nil"/>
              <w:right w:val="nil"/>
            </w:tcBorders>
            <w:shd w:val="clear" w:color="000000" w:fill="FFFFFF"/>
            <w:noWrap/>
            <w:hideMark/>
          </w:tcPr>
          <w:p w14:paraId="23FC022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Mejora</w:t>
            </w:r>
            <w:r w:rsidRPr="00367BEC">
              <w:rPr>
                <w:rFonts w:ascii="Times New Roman" w:hAnsi="Times New Roman"/>
                <w:b/>
                <w:color w:val="000000"/>
                <w:sz w:val="20"/>
                <w:vertAlign w:val="superscript"/>
              </w:rPr>
              <w:t>ii</w:t>
            </w:r>
            <w:proofErr w:type="spellEnd"/>
          </w:p>
        </w:tc>
      </w:tr>
      <w:tr w:rsidR="002E4D99" w:rsidRPr="00367BEC" w14:paraId="3EDC9E7F" w14:textId="77777777" w:rsidTr="00865510">
        <w:trPr>
          <w:trHeight w:val="20"/>
        </w:trPr>
        <w:tc>
          <w:tcPr>
            <w:tcW w:w="631" w:type="pct"/>
            <w:tcBorders>
              <w:top w:val="nil"/>
              <w:left w:val="nil"/>
              <w:bottom w:val="nil"/>
              <w:right w:val="nil"/>
            </w:tcBorders>
            <w:shd w:val="clear" w:color="000000" w:fill="FFFFFF"/>
            <w:noWrap/>
            <w:hideMark/>
          </w:tcPr>
          <w:p w14:paraId="0A7D6B2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0883636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3389F3F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MDASI intensidad de los síntomas</w:t>
            </w:r>
          </w:p>
        </w:tc>
        <w:tc>
          <w:tcPr>
            <w:tcW w:w="258" w:type="pct"/>
            <w:tcBorders>
              <w:top w:val="nil"/>
              <w:left w:val="nil"/>
              <w:bottom w:val="nil"/>
              <w:right w:val="nil"/>
            </w:tcBorders>
            <w:shd w:val="clear" w:color="000000" w:fill="FFFFFF"/>
            <w:noWrap/>
            <w:hideMark/>
          </w:tcPr>
          <w:p w14:paraId="4E5FFF8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54,5</w:t>
            </w:r>
          </w:p>
        </w:tc>
        <w:tc>
          <w:tcPr>
            <w:tcW w:w="527" w:type="pct"/>
            <w:tcBorders>
              <w:top w:val="nil"/>
              <w:left w:val="nil"/>
              <w:bottom w:val="nil"/>
              <w:right w:val="nil"/>
            </w:tcBorders>
            <w:shd w:val="clear" w:color="000000" w:fill="FFFFFF"/>
            <w:noWrap/>
            <w:hideMark/>
          </w:tcPr>
          <w:p w14:paraId="53DAA08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(21,8)</w:t>
            </w:r>
          </w:p>
        </w:tc>
        <w:tc>
          <w:tcPr>
            <w:tcW w:w="194" w:type="pct"/>
            <w:tcBorders>
              <w:top w:val="nil"/>
              <w:left w:val="nil"/>
              <w:bottom w:val="nil"/>
              <w:right w:val="nil"/>
            </w:tcBorders>
            <w:shd w:val="clear" w:color="000000" w:fill="FFFFFF"/>
            <w:noWrap/>
            <w:hideMark/>
          </w:tcPr>
          <w:p w14:paraId="054C532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9" w:type="pct"/>
            <w:tcBorders>
              <w:top w:val="nil"/>
              <w:left w:val="nil"/>
              <w:bottom w:val="nil"/>
              <w:right w:val="nil"/>
            </w:tcBorders>
            <w:shd w:val="clear" w:color="000000" w:fill="FFFFFF"/>
            <w:noWrap/>
            <w:hideMark/>
          </w:tcPr>
          <w:p w14:paraId="5C1DB96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nil"/>
              <w:right w:val="nil"/>
            </w:tcBorders>
            <w:shd w:val="clear" w:color="000000" w:fill="FFFFFF"/>
            <w:noWrap/>
            <w:hideMark/>
          </w:tcPr>
          <w:p w14:paraId="7B5FA3B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54" w:type="pct"/>
            <w:tcBorders>
              <w:top w:val="nil"/>
              <w:left w:val="nil"/>
              <w:bottom w:val="nil"/>
              <w:right w:val="nil"/>
            </w:tcBorders>
            <w:shd w:val="clear" w:color="000000" w:fill="FFFFFF"/>
            <w:noWrap/>
            <w:hideMark/>
          </w:tcPr>
          <w:p w14:paraId="1F19E11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−78,0</w:t>
            </w:r>
          </w:p>
        </w:tc>
      </w:tr>
      <w:tr w:rsidR="002E4D99" w:rsidRPr="00367BEC" w14:paraId="28591C57" w14:textId="77777777" w:rsidTr="00865510">
        <w:trPr>
          <w:trHeight w:val="20"/>
        </w:trPr>
        <w:tc>
          <w:tcPr>
            <w:tcW w:w="631" w:type="pct"/>
            <w:tcBorders>
              <w:top w:val="nil"/>
              <w:left w:val="nil"/>
              <w:bottom w:val="single" w:sz="8" w:space="0" w:color="auto"/>
              <w:right w:val="nil"/>
            </w:tcBorders>
            <w:shd w:val="clear" w:color="000000" w:fill="FFFFFF"/>
            <w:noWrap/>
            <w:hideMark/>
          </w:tcPr>
          <w:p w14:paraId="30B94C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8" w:space="0" w:color="auto"/>
              <w:right w:val="nil"/>
            </w:tcBorders>
            <w:shd w:val="clear" w:color="000000" w:fill="FFFFFF"/>
            <w:noWrap/>
            <w:hideMark/>
          </w:tcPr>
          <w:p w14:paraId="4FCBAAD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8" w:space="0" w:color="auto"/>
              <w:right w:val="nil"/>
            </w:tcBorders>
            <w:shd w:val="clear" w:color="000000" w:fill="FFFFFF"/>
            <w:noWrap/>
            <w:hideMark/>
          </w:tcPr>
          <w:p w14:paraId="536558D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MDASI interferencia de los síntomas</w:t>
            </w:r>
          </w:p>
        </w:tc>
        <w:tc>
          <w:tcPr>
            <w:tcW w:w="258" w:type="pct"/>
            <w:tcBorders>
              <w:top w:val="nil"/>
              <w:left w:val="nil"/>
              <w:bottom w:val="single" w:sz="8" w:space="0" w:color="auto"/>
              <w:right w:val="nil"/>
            </w:tcBorders>
            <w:shd w:val="clear" w:color="000000" w:fill="FFFFFF"/>
            <w:noWrap/>
            <w:hideMark/>
          </w:tcPr>
          <w:p w14:paraId="720DF11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45,4</w:t>
            </w:r>
          </w:p>
        </w:tc>
        <w:tc>
          <w:tcPr>
            <w:tcW w:w="527" w:type="pct"/>
            <w:tcBorders>
              <w:top w:val="nil"/>
              <w:left w:val="nil"/>
              <w:bottom w:val="single" w:sz="8" w:space="0" w:color="auto"/>
              <w:right w:val="nil"/>
            </w:tcBorders>
            <w:shd w:val="clear" w:color="000000" w:fill="FFFFFF"/>
            <w:noWrap/>
            <w:hideMark/>
          </w:tcPr>
          <w:p w14:paraId="1BE6058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(9,3)</w:t>
            </w:r>
          </w:p>
        </w:tc>
        <w:tc>
          <w:tcPr>
            <w:tcW w:w="194" w:type="pct"/>
            <w:tcBorders>
              <w:top w:val="nil"/>
              <w:left w:val="nil"/>
              <w:bottom w:val="single" w:sz="8" w:space="0" w:color="auto"/>
              <w:right w:val="nil"/>
            </w:tcBorders>
            <w:shd w:val="clear" w:color="000000" w:fill="FFFFFF"/>
            <w:noWrap/>
            <w:hideMark/>
          </w:tcPr>
          <w:p w14:paraId="626EB25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29" w:type="pct"/>
            <w:tcBorders>
              <w:top w:val="nil"/>
              <w:left w:val="nil"/>
              <w:bottom w:val="single" w:sz="8" w:space="0" w:color="auto"/>
              <w:right w:val="nil"/>
            </w:tcBorders>
            <w:shd w:val="clear" w:color="000000" w:fill="FFFFFF"/>
            <w:noWrap/>
            <w:hideMark/>
          </w:tcPr>
          <w:p w14:paraId="4BBC39C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383" w:type="pct"/>
            <w:tcBorders>
              <w:top w:val="nil"/>
              <w:left w:val="nil"/>
              <w:bottom w:val="single" w:sz="8" w:space="0" w:color="auto"/>
              <w:right w:val="nil"/>
            </w:tcBorders>
            <w:shd w:val="clear" w:color="000000" w:fill="FFFFFF"/>
            <w:noWrap/>
            <w:hideMark/>
          </w:tcPr>
          <w:p w14:paraId="0F0050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54" w:type="pct"/>
            <w:tcBorders>
              <w:top w:val="nil"/>
              <w:left w:val="nil"/>
              <w:bottom w:val="single" w:sz="8" w:space="0" w:color="auto"/>
              <w:right w:val="nil"/>
            </w:tcBorders>
            <w:shd w:val="clear" w:color="000000" w:fill="FFFFFF"/>
            <w:noWrap/>
            <w:hideMark/>
          </w:tcPr>
          <w:p w14:paraId="1A1EBD8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−84,5</w:t>
            </w:r>
          </w:p>
        </w:tc>
      </w:tr>
      <w:tr w:rsidR="002E4D99" w:rsidRPr="00367BEC" w14:paraId="0B7DC638" w14:textId="77777777" w:rsidTr="00865510">
        <w:trPr>
          <w:trHeight w:val="20"/>
        </w:trPr>
        <w:tc>
          <w:tcPr>
            <w:tcW w:w="631" w:type="pct"/>
            <w:tcBorders>
              <w:top w:val="nil"/>
              <w:left w:val="nil"/>
              <w:bottom w:val="nil"/>
              <w:right w:val="nil"/>
            </w:tcBorders>
            <w:shd w:val="clear" w:color="000000" w:fill="FFFFFF"/>
            <w:noWrap/>
            <w:hideMark/>
          </w:tcPr>
          <w:p w14:paraId="7DA0EF9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Schwenke</w:t>
            </w:r>
            <w:proofErr w:type="spellEnd"/>
            <w:r w:rsidRPr="00367BEC">
              <w:rPr>
                <w:rFonts w:ascii="Times New Roman" w:hAnsi="Times New Roman"/>
                <w:color w:val="000000"/>
                <w:sz w:val="20"/>
              </w:rPr>
              <w:t xml:space="preserve"> 2015</w:t>
            </w:r>
          </w:p>
        </w:tc>
        <w:tc>
          <w:tcPr>
            <w:tcW w:w="590" w:type="pct"/>
            <w:tcBorders>
              <w:top w:val="nil"/>
              <w:left w:val="nil"/>
              <w:bottom w:val="nil"/>
              <w:right w:val="nil"/>
            </w:tcBorders>
            <w:shd w:val="clear" w:color="000000" w:fill="FFFFFF"/>
            <w:noWrap/>
            <w:hideMark/>
          </w:tcPr>
          <w:p w14:paraId="2214B10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334" w:type="pct"/>
            <w:tcBorders>
              <w:top w:val="nil"/>
              <w:left w:val="nil"/>
              <w:bottom w:val="nil"/>
              <w:right w:val="nil"/>
            </w:tcBorders>
            <w:shd w:val="clear" w:color="000000" w:fill="FFFFFF"/>
            <w:noWrap/>
            <w:hideMark/>
          </w:tcPr>
          <w:p w14:paraId="0ED90BE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Calidad del sueño EVN-11-4sem</w:t>
            </w:r>
          </w:p>
        </w:tc>
        <w:tc>
          <w:tcPr>
            <w:tcW w:w="258" w:type="pct"/>
            <w:tcBorders>
              <w:top w:val="nil"/>
              <w:left w:val="nil"/>
              <w:bottom w:val="nil"/>
              <w:right w:val="nil"/>
            </w:tcBorders>
            <w:shd w:val="clear" w:color="000000" w:fill="FFFFFF"/>
            <w:noWrap/>
            <w:hideMark/>
          </w:tcPr>
          <w:p w14:paraId="37AB528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6,5</w:t>
            </w:r>
          </w:p>
        </w:tc>
        <w:tc>
          <w:tcPr>
            <w:tcW w:w="527" w:type="pct"/>
            <w:tcBorders>
              <w:top w:val="nil"/>
              <w:left w:val="nil"/>
              <w:bottom w:val="nil"/>
              <w:right w:val="nil"/>
            </w:tcBorders>
            <w:shd w:val="clear" w:color="000000" w:fill="FFFFFF"/>
            <w:noWrap/>
            <w:hideMark/>
          </w:tcPr>
          <w:p w14:paraId="4289A6D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35D2368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w:t>
            </w:r>
          </w:p>
        </w:tc>
        <w:tc>
          <w:tcPr>
            <w:tcW w:w="529" w:type="pct"/>
            <w:tcBorders>
              <w:top w:val="nil"/>
              <w:left w:val="nil"/>
              <w:bottom w:val="nil"/>
              <w:right w:val="nil"/>
            </w:tcBorders>
            <w:shd w:val="clear" w:color="000000" w:fill="FFFFFF"/>
            <w:noWrap/>
            <w:hideMark/>
          </w:tcPr>
          <w:p w14:paraId="5C82001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w:t>
            </w:r>
          </w:p>
        </w:tc>
        <w:tc>
          <w:tcPr>
            <w:tcW w:w="383" w:type="pct"/>
            <w:tcBorders>
              <w:top w:val="nil"/>
              <w:left w:val="nil"/>
              <w:bottom w:val="nil"/>
              <w:right w:val="nil"/>
            </w:tcBorders>
            <w:shd w:val="clear" w:color="000000" w:fill="FFFFFF"/>
            <w:noWrap/>
            <w:hideMark/>
          </w:tcPr>
          <w:p w14:paraId="024ACE5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−3,4</w:t>
            </w:r>
          </w:p>
        </w:tc>
        <w:tc>
          <w:tcPr>
            <w:tcW w:w="554" w:type="pct"/>
            <w:tcBorders>
              <w:top w:val="nil"/>
              <w:left w:val="nil"/>
              <w:bottom w:val="nil"/>
              <w:right w:val="nil"/>
            </w:tcBorders>
            <w:shd w:val="clear" w:color="000000" w:fill="FFFFFF"/>
            <w:noWrap/>
            <w:hideMark/>
          </w:tcPr>
          <w:p w14:paraId="0ADAEB33"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−52,3</w:t>
            </w:r>
            <w:r w:rsidRPr="00367BEC">
              <w:rPr>
                <w:rFonts w:ascii="Times New Roman" w:hAnsi="Times New Roman"/>
                <w:b/>
                <w:color w:val="000000"/>
                <w:sz w:val="20"/>
                <w:vertAlign w:val="superscript"/>
              </w:rPr>
              <w:t>iii</w:t>
            </w:r>
          </w:p>
        </w:tc>
      </w:tr>
      <w:tr w:rsidR="002E4D99" w:rsidRPr="00367BEC" w14:paraId="6CA87AE3" w14:textId="77777777" w:rsidTr="00865510">
        <w:trPr>
          <w:trHeight w:val="20"/>
        </w:trPr>
        <w:tc>
          <w:tcPr>
            <w:tcW w:w="631" w:type="pct"/>
            <w:tcBorders>
              <w:top w:val="nil"/>
              <w:left w:val="nil"/>
              <w:bottom w:val="nil"/>
              <w:right w:val="nil"/>
            </w:tcBorders>
            <w:shd w:val="clear" w:color="000000" w:fill="FFFFFF"/>
            <w:noWrap/>
            <w:hideMark/>
          </w:tcPr>
          <w:p w14:paraId="732A0FC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2FAC0DC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76995EF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Actividad social EVN-11-4sem</w:t>
            </w:r>
          </w:p>
        </w:tc>
        <w:tc>
          <w:tcPr>
            <w:tcW w:w="258" w:type="pct"/>
            <w:tcBorders>
              <w:top w:val="nil"/>
              <w:left w:val="nil"/>
              <w:bottom w:val="nil"/>
              <w:right w:val="nil"/>
            </w:tcBorders>
            <w:shd w:val="clear" w:color="000000" w:fill="FFFFFF"/>
            <w:noWrap/>
            <w:hideMark/>
          </w:tcPr>
          <w:p w14:paraId="74DDE5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8,2</w:t>
            </w:r>
          </w:p>
        </w:tc>
        <w:tc>
          <w:tcPr>
            <w:tcW w:w="527" w:type="pct"/>
            <w:tcBorders>
              <w:top w:val="nil"/>
              <w:left w:val="nil"/>
              <w:bottom w:val="nil"/>
              <w:right w:val="nil"/>
            </w:tcBorders>
            <w:shd w:val="clear" w:color="000000" w:fill="FFFFFF"/>
            <w:noWrap/>
            <w:hideMark/>
          </w:tcPr>
          <w:p w14:paraId="7FBF238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62C314B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4,9</w:t>
            </w:r>
          </w:p>
        </w:tc>
        <w:tc>
          <w:tcPr>
            <w:tcW w:w="529" w:type="pct"/>
            <w:tcBorders>
              <w:top w:val="nil"/>
              <w:left w:val="nil"/>
              <w:bottom w:val="nil"/>
              <w:right w:val="nil"/>
            </w:tcBorders>
            <w:shd w:val="clear" w:color="000000" w:fill="FFFFFF"/>
            <w:noWrap/>
            <w:hideMark/>
          </w:tcPr>
          <w:p w14:paraId="70FE712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w:t>
            </w:r>
          </w:p>
        </w:tc>
        <w:tc>
          <w:tcPr>
            <w:tcW w:w="383" w:type="pct"/>
            <w:tcBorders>
              <w:top w:val="nil"/>
              <w:left w:val="nil"/>
              <w:bottom w:val="nil"/>
              <w:right w:val="nil"/>
            </w:tcBorders>
            <w:shd w:val="clear" w:color="000000" w:fill="FFFFFF"/>
            <w:noWrap/>
            <w:hideMark/>
          </w:tcPr>
          <w:p w14:paraId="6C4768E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−3,3</w:t>
            </w:r>
          </w:p>
        </w:tc>
        <w:tc>
          <w:tcPr>
            <w:tcW w:w="554" w:type="pct"/>
            <w:tcBorders>
              <w:top w:val="nil"/>
              <w:left w:val="nil"/>
              <w:bottom w:val="nil"/>
              <w:right w:val="nil"/>
            </w:tcBorders>
            <w:shd w:val="clear" w:color="000000" w:fill="FFFFFF"/>
            <w:noWrap/>
            <w:hideMark/>
          </w:tcPr>
          <w:p w14:paraId="0A90B62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−40,2</w:t>
            </w:r>
            <w:r w:rsidRPr="00367BEC">
              <w:rPr>
                <w:rFonts w:ascii="Times New Roman" w:hAnsi="Times New Roman"/>
                <w:b/>
                <w:color w:val="000000"/>
                <w:sz w:val="20"/>
                <w:vertAlign w:val="superscript"/>
              </w:rPr>
              <w:t>iii</w:t>
            </w:r>
          </w:p>
        </w:tc>
      </w:tr>
      <w:tr w:rsidR="002E4D99" w:rsidRPr="00367BEC" w14:paraId="33EE2A0F" w14:textId="77777777" w:rsidTr="00865510">
        <w:trPr>
          <w:trHeight w:val="20"/>
        </w:trPr>
        <w:tc>
          <w:tcPr>
            <w:tcW w:w="631" w:type="pct"/>
            <w:tcBorders>
              <w:top w:val="nil"/>
              <w:left w:val="nil"/>
              <w:bottom w:val="nil"/>
              <w:right w:val="nil"/>
            </w:tcBorders>
            <w:shd w:val="clear" w:color="000000" w:fill="FFFFFF"/>
            <w:noWrap/>
            <w:hideMark/>
          </w:tcPr>
          <w:p w14:paraId="167F415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lastRenderedPageBreak/>
              <w:t> </w:t>
            </w:r>
          </w:p>
        </w:tc>
        <w:tc>
          <w:tcPr>
            <w:tcW w:w="590" w:type="pct"/>
            <w:tcBorders>
              <w:top w:val="nil"/>
              <w:left w:val="nil"/>
              <w:bottom w:val="nil"/>
              <w:right w:val="nil"/>
            </w:tcBorders>
            <w:shd w:val="clear" w:color="000000" w:fill="FFFFFF"/>
            <w:noWrap/>
            <w:hideMark/>
          </w:tcPr>
          <w:p w14:paraId="2AF974C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3F02B50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Independencia EVN-11-4sem</w:t>
            </w:r>
          </w:p>
        </w:tc>
        <w:tc>
          <w:tcPr>
            <w:tcW w:w="258" w:type="pct"/>
            <w:tcBorders>
              <w:top w:val="nil"/>
              <w:left w:val="nil"/>
              <w:bottom w:val="nil"/>
              <w:right w:val="nil"/>
            </w:tcBorders>
            <w:shd w:val="clear" w:color="000000" w:fill="FFFFFF"/>
            <w:noWrap/>
            <w:hideMark/>
          </w:tcPr>
          <w:p w14:paraId="65E80EE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6,8</w:t>
            </w:r>
          </w:p>
        </w:tc>
        <w:tc>
          <w:tcPr>
            <w:tcW w:w="527" w:type="pct"/>
            <w:tcBorders>
              <w:top w:val="nil"/>
              <w:left w:val="nil"/>
              <w:bottom w:val="nil"/>
              <w:right w:val="nil"/>
            </w:tcBorders>
            <w:shd w:val="clear" w:color="000000" w:fill="FFFFFF"/>
            <w:noWrap/>
            <w:hideMark/>
          </w:tcPr>
          <w:p w14:paraId="1291B9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nil"/>
              <w:right w:val="nil"/>
            </w:tcBorders>
            <w:shd w:val="clear" w:color="000000" w:fill="FFFFFF"/>
            <w:noWrap/>
            <w:hideMark/>
          </w:tcPr>
          <w:p w14:paraId="7B87F7B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4,3</w:t>
            </w:r>
          </w:p>
        </w:tc>
        <w:tc>
          <w:tcPr>
            <w:tcW w:w="529" w:type="pct"/>
            <w:tcBorders>
              <w:top w:val="nil"/>
              <w:left w:val="nil"/>
              <w:bottom w:val="nil"/>
              <w:right w:val="nil"/>
            </w:tcBorders>
            <w:shd w:val="clear" w:color="000000" w:fill="FFFFFF"/>
            <w:noWrap/>
            <w:hideMark/>
          </w:tcPr>
          <w:p w14:paraId="2A3708B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(2,9)</w:t>
            </w:r>
          </w:p>
        </w:tc>
        <w:tc>
          <w:tcPr>
            <w:tcW w:w="383" w:type="pct"/>
            <w:tcBorders>
              <w:top w:val="nil"/>
              <w:left w:val="nil"/>
              <w:bottom w:val="nil"/>
              <w:right w:val="nil"/>
            </w:tcBorders>
            <w:shd w:val="clear" w:color="000000" w:fill="FFFFFF"/>
            <w:noWrap/>
            <w:hideMark/>
          </w:tcPr>
          <w:p w14:paraId="1C570BC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w:t>
            </w:r>
          </w:p>
        </w:tc>
        <w:tc>
          <w:tcPr>
            <w:tcW w:w="554" w:type="pct"/>
            <w:tcBorders>
              <w:top w:val="nil"/>
              <w:left w:val="nil"/>
              <w:bottom w:val="nil"/>
              <w:right w:val="nil"/>
            </w:tcBorders>
            <w:shd w:val="clear" w:color="000000" w:fill="FFFFFF"/>
            <w:noWrap/>
            <w:hideMark/>
          </w:tcPr>
          <w:p w14:paraId="526CD32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−36,8</w:t>
            </w:r>
            <w:r w:rsidRPr="00367BEC">
              <w:rPr>
                <w:rFonts w:ascii="Times New Roman" w:hAnsi="Times New Roman"/>
                <w:b/>
                <w:color w:val="000000"/>
                <w:sz w:val="20"/>
                <w:vertAlign w:val="superscript"/>
              </w:rPr>
              <w:t>iii</w:t>
            </w:r>
          </w:p>
        </w:tc>
      </w:tr>
      <w:tr w:rsidR="002E4D99" w:rsidRPr="00367BEC" w14:paraId="7545B9CA" w14:textId="77777777" w:rsidTr="00865510">
        <w:trPr>
          <w:trHeight w:val="20"/>
        </w:trPr>
        <w:tc>
          <w:tcPr>
            <w:tcW w:w="631" w:type="pct"/>
            <w:tcBorders>
              <w:top w:val="nil"/>
              <w:left w:val="nil"/>
              <w:bottom w:val="single" w:sz="8" w:space="0" w:color="auto"/>
              <w:right w:val="nil"/>
            </w:tcBorders>
            <w:shd w:val="clear" w:color="000000" w:fill="FFFFFF"/>
            <w:noWrap/>
            <w:hideMark/>
          </w:tcPr>
          <w:p w14:paraId="52D04A9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8" w:space="0" w:color="auto"/>
              <w:right w:val="nil"/>
            </w:tcBorders>
            <w:shd w:val="clear" w:color="000000" w:fill="FFFFFF"/>
            <w:noWrap/>
            <w:hideMark/>
          </w:tcPr>
          <w:p w14:paraId="1BC9F46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8" w:space="0" w:color="auto"/>
              <w:right w:val="nil"/>
            </w:tcBorders>
            <w:shd w:val="clear" w:color="000000" w:fill="FFFFFF"/>
            <w:noWrap/>
            <w:hideMark/>
          </w:tcPr>
          <w:p w14:paraId="2DB19E5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Libido EVN-11-4sem</w:t>
            </w:r>
          </w:p>
        </w:tc>
        <w:tc>
          <w:tcPr>
            <w:tcW w:w="258" w:type="pct"/>
            <w:tcBorders>
              <w:top w:val="nil"/>
              <w:left w:val="nil"/>
              <w:bottom w:val="single" w:sz="8" w:space="0" w:color="auto"/>
              <w:right w:val="nil"/>
            </w:tcBorders>
            <w:shd w:val="clear" w:color="000000" w:fill="FFFFFF"/>
            <w:noWrap/>
            <w:hideMark/>
          </w:tcPr>
          <w:p w14:paraId="1214F6D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8,2</w:t>
            </w:r>
          </w:p>
        </w:tc>
        <w:tc>
          <w:tcPr>
            <w:tcW w:w="527" w:type="pct"/>
            <w:tcBorders>
              <w:top w:val="nil"/>
              <w:left w:val="nil"/>
              <w:bottom w:val="single" w:sz="8" w:space="0" w:color="auto"/>
              <w:right w:val="nil"/>
            </w:tcBorders>
            <w:shd w:val="clear" w:color="000000" w:fill="FFFFFF"/>
            <w:noWrap/>
            <w:hideMark/>
          </w:tcPr>
          <w:p w14:paraId="494E00D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94" w:type="pct"/>
            <w:tcBorders>
              <w:top w:val="nil"/>
              <w:left w:val="nil"/>
              <w:bottom w:val="single" w:sz="8" w:space="0" w:color="auto"/>
              <w:right w:val="nil"/>
            </w:tcBorders>
            <w:shd w:val="clear" w:color="000000" w:fill="FFFFFF"/>
            <w:noWrap/>
            <w:hideMark/>
          </w:tcPr>
          <w:p w14:paraId="5082886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6,5</w:t>
            </w:r>
          </w:p>
        </w:tc>
        <w:tc>
          <w:tcPr>
            <w:tcW w:w="529" w:type="pct"/>
            <w:tcBorders>
              <w:top w:val="nil"/>
              <w:left w:val="nil"/>
              <w:bottom w:val="single" w:sz="8" w:space="0" w:color="auto"/>
              <w:right w:val="nil"/>
            </w:tcBorders>
            <w:shd w:val="clear" w:color="000000" w:fill="FFFFFF"/>
            <w:noWrap/>
            <w:hideMark/>
          </w:tcPr>
          <w:p w14:paraId="3AB6B00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(3,4)</w:t>
            </w:r>
          </w:p>
        </w:tc>
        <w:tc>
          <w:tcPr>
            <w:tcW w:w="383" w:type="pct"/>
            <w:tcBorders>
              <w:top w:val="nil"/>
              <w:left w:val="nil"/>
              <w:bottom w:val="single" w:sz="8" w:space="0" w:color="auto"/>
              <w:right w:val="nil"/>
            </w:tcBorders>
            <w:shd w:val="clear" w:color="000000" w:fill="FFFFFF"/>
            <w:noWrap/>
            <w:hideMark/>
          </w:tcPr>
          <w:p w14:paraId="0D8BDEA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w:t>
            </w:r>
          </w:p>
        </w:tc>
        <w:tc>
          <w:tcPr>
            <w:tcW w:w="554" w:type="pct"/>
            <w:tcBorders>
              <w:top w:val="nil"/>
              <w:left w:val="nil"/>
              <w:bottom w:val="single" w:sz="8" w:space="0" w:color="auto"/>
              <w:right w:val="nil"/>
            </w:tcBorders>
            <w:shd w:val="clear" w:color="000000" w:fill="FFFFFF"/>
            <w:noWrap/>
            <w:hideMark/>
          </w:tcPr>
          <w:p w14:paraId="49E8710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−20,7</w:t>
            </w:r>
            <w:r w:rsidRPr="00367BEC">
              <w:rPr>
                <w:rFonts w:ascii="Times New Roman" w:hAnsi="Times New Roman"/>
                <w:b/>
                <w:color w:val="000000"/>
                <w:sz w:val="20"/>
                <w:vertAlign w:val="superscript"/>
              </w:rPr>
              <w:t>iii</w:t>
            </w:r>
          </w:p>
        </w:tc>
      </w:tr>
      <w:tr w:rsidR="002E4D99" w:rsidRPr="00367BEC" w14:paraId="1B251834" w14:textId="77777777" w:rsidTr="00865510">
        <w:trPr>
          <w:trHeight w:val="20"/>
        </w:trPr>
        <w:tc>
          <w:tcPr>
            <w:tcW w:w="631" w:type="pct"/>
            <w:tcBorders>
              <w:top w:val="nil"/>
              <w:left w:val="nil"/>
              <w:bottom w:val="nil"/>
              <w:right w:val="nil"/>
            </w:tcBorders>
            <w:shd w:val="clear" w:color="000000" w:fill="FFFFFF"/>
            <w:noWrap/>
            <w:hideMark/>
          </w:tcPr>
          <w:p w14:paraId="0EF571D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Schikowski</w:t>
            </w:r>
            <w:proofErr w:type="spellEnd"/>
            <w:r w:rsidRPr="00367BEC">
              <w:rPr>
                <w:rFonts w:ascii="Times New Roman" w:hAnsi="Times New Roman"/>
                <w:color w:val="000000"/>
                <w:sz w:val="20"/>
              </w:rPr>
              <w:t xml:space="preserve"> 2015</w:t>
            </w:r>
          </w:p>
        </w:tc>
        <w:tc>
          <w:tcPr>
            <w:tcW w:w="590" w:type="pct"/>
            <w:tcBorders>
              <w:top w:val="nil"/>
              <w:left w:val="nil"/>
              <w:bottom w:val="nil"/>
              <w:right w:val="nil"/>
            </w:tcBorders>
            <w:shd w:val="clear" w:color="000000" w:fill="FFFFFF"/>
            <w:noWrap/>
            <w:hideMark/>
          </w:tcPr>
          <w:p w14:paraId="791C4D7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334" w:type="pct"/>
            <w:tcBorders>
              <w:top w:val="nil"/>
              <w:left w:val="nil"/>
              <w:bottom w:val="nil"/>
              <w:right w:val="nil"/>
            </w:tcBorders>
            <w:shd w:val="clear" w:color="000000" w:fill="FFFFFF"/>
            <w:noWrap/>
            <w:hideMark/>
          </w:tcPr>
          <w:p w14:paraId="4DD3E52E" w14:textId="4EE0B12C"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HADS ansiedad (suma</w:t>
            </w:r>
            <w:r w:rsidR="004F4E9B">
              <w:rPr>
                <w:rFonts w:ascii="Times New Roman" w:hAnsi="Times New Roman"/>
                <w:color w:val="000000"/>
                <w:sz w:val="20"/>
              </w:rPr>
              <w:t>torio</w:t>
            </w:r>
            <w:r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550BFCB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11,1</w:t>
            </w:r>
          </w:p>
        </w:tc>
        <w:tc>
          <w:tcPr>
            <w:tcW w:w="527" w:type="pct"/>
            <w:tcBorders>
              <w:top w:val="nil"/>
              <w:left w:val="nil"/>
              <w:bottom w:val="nil"/>
              <w:right w:val="nil"/>
            </w:tcBorders>
            <w:shd w:val="clear" w:color="000000" w:fill="FFFFFF"/>
            <w:noWrap/>
            <w:hideMark/>
          </w:tcPr>
          <w:p w14:paraId="47EBAF2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(4,8)</w:t>
            </w:r>
          </w:p>
        </w:tc>
        <w:tc>
          <w:tcPr>
            <w:tcW w:w="194" w:type="pct"/>
            <w:tcBorders>
              <w:top w:val="nil"/>
              <w:left w:val="nil"/>
              <w:bottom w:val="nil"/>
              <w:right w:val="nil"/>
            </w:tcBorders>
            <w:shd w:val="clear" w:color="000000" w:fill="FFFFFF"/>
            <w:noWrap/>
            <w:hideMark/>
          </w:tcPr>
          <w:p w14:paraId="37AA885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7,6</w:t>
            </w:r>
          </w:p>
        </w:tc>
        <w:tc>
          <w:tcPr>
            <w:tcW w:w="529" w:type="pct"/>
            <w:tcBorders>
              <w:top w:val="nil"/>
              <w:left w:val="nil"/>
              <w:bottom w:val="nil"/>
              <w:right w:val="nil"/>
            </w:tcBorders>
            <w:shd w:val="clear" w:color="000000" w:fill="FFFFFF"/>
            <w:noWrap/>
            <w:hideMark/>
          </w:tcPr>
          <w:p w14:paraId="243D350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(5,0)</w:t>
            </w:r>
          </w:p>
        </w:tc>
        <w:tc>
          <w:tcPr>
            <w:tcW w:w="383" w:type="pct"/>
            <w:tcBorders>
              <w:top w:val="nil"/>
              <w:left w:val="nil"/>
              <w:bottom w:val="nil"/>
              <w:right w:val="nil"/>
            </w:tcBorders>
            <w:shd w:val="clear" w:color="000000" w:fill="FFFFFF"/>
            <w:noWrap/>
            <w:hideMark/>
          </w:tcPr>
          <w:p w14:paraId="5B28ACC1"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−3,5</w:t>
            </w:r>
          </w:p>
        </w:tc>
        <w:tc>
          <w:tcPr>
            <w:tcW w:w="554" w:type="pct"/>
            <w:tcBorders>
              <w:top w:val="nil"/>
              <w:left w:val="nil"/>
              <w:bottom w:val="nil"/>
              <w:right w:val="nil"/>
            </w:tcBorders>
            <w:shd w:val="clear" w:color="000000" w:fill="FFFFFF"/>
            <w:noWrap/>
            <w:hideMark/>
          </w:tcPr>
          <w:p w14:paraId="42784613"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−31,5</w:t>
            </w:r>
          </w:p>
        </w:tc>
      </w:tr>
      <w:tr w:rsidR="002E4D99" w:rsidRPr="00367BEC" w14:paraId="55F9DCBB" w14:textId="77777777" w:rsidTr="00865510">
        <w:trPr>
          <w:trHeight w:val="20"/>
        </w:trPr>
        <w:tc>
          <w:tcPr>
            <w:tcW w:w="631" w:type="pct"/>
            <w:tcBorders>
              <w:top w:val="nil"/>
              <w:left w:val="nil"/>
              <w:bottom w:val="nil"/>
              <w:right w:val="nil"/>
            </w:tcBorders>
            <w:shd w:val="clear" w:color="000000" w:fill="FFFFFF"/>
            <w:noWrap/>
            <w:hideMark/>
          </w:tcPr>
          <w:p w14:paraId="791E396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178E608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4C199845" w14:textId="17E7A838"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HADS depresión (suma</w:t>
            </w:r>
            <w:r w:rsidR="004F4E9B">
              <w:rPr>
                <w:rFonts w:ascii="Times New Roman" w:hAnsi="Times New Roman"/>
                <w:color w:val="000000"/>
                <w:sz w:val="20"/>
              </w:rPr>
              <w:t>torio</w:t>
            </w:r>
            <w:r w:rsidRPr="00367BEC">
              <w:rPr>
                <w:rFonts w:ascii="Times New Roman" w:hAnsi="Times New Roman"/>
                <w:color w:val="000000"/>
                <w:sz w:val="20"/>
              </w:rPr>
              <w:t>)</w:t>
            </w:r>
          </w:p>
        </w:tc>
        <w:tc>
          <w:tcPr>
            <w:tcW w:w="258" w:type="pct"/>
            <w:tcBorders>
              <w:top w:val="nil"/>
              <w:left w:val="nil"/>
              <w:bottom w:val="nil"/>
              <w:right w:val="nil"/>
            </w:tcBorders>
            <w:shd w:val="clear" w:color="000000" w:fill="FFFFFF"/>
            <w:noWrap/>
            <w:hideMark/>
          </w:tcPr>
          <w:p w14:paraId="0CF373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13,0</w:t>
            </w:r>
          </w:p>
        </w:tc>
        <w:tc>
          <w:tcPr>
            <w:tcW w:w="527" w:type="pct"/>
            <w:tcBorders>
              <w:top w:val="nil"/>
              <w:left w:val="nil"/>
              <w:bottom w:val="nil"/>
              <w:right w:val="nil"/>
            </w:tcBorders>
            <w:shd w:val="clear" w:color="000000" w:fill="FFFFFF"/>
            <w:noWrap/>
            <w:hideMark/>
          </w:tcPr>
          <w:p w14:paraId="72A76B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(4,9)</w:t>
            </w:r>
          </w:p>
        </w:tc>
        <w:tc>
          <w:tcPr>
            <w:tcW w:w="194" w:type="pct"/>
            <w:tcBorders>
              <w:top w:val="nil"/>
              <w:left w:val="nil"/>
              <w:bottom w:val="nil"/>
              <w:right w:val="nil"/>
            </w:tcBorders>
            <w:shd w:val="clear" w:color="000000" w:fill="FFFFFF"/>
            <w:noWrap/>
            <w:hideMark/>
          </w:tcPr>
          <w:p w14:paraId="1BD2596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8,8</w:t>
            </w:r>
          </w:p>
        </w:tc>
        <w:tc>
          <w:tcPr>
            <w:tcW w:w="529" w:type="pct"/>
            <w:tcBorders>
              <w:top w:val="nil"/>
              <w:left w:val="nil"/>
              <w:bottom w:val="nil"/>
              <w:right w:val="nil"/>
            </w:tcBorders>
            <w:shd w:val="clear" w:color="000000" w:fill="FFFFFF"/>
            <w:noWrap/>
            <w:hideMark/>
          </w:tcPr>
          <w:p w14:paraId="6FBC552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(5,6)</w:t>
            </w:r>
          </w:p>
        </w:tc>
        <w:tc>
          <w:tcPr>
            <w:tcW w:w="383" w:type="pct"/>
            <w:tcBorders>
              <w:top w:val="nil"/>
              <w:left w:val="nil"/>
              <w:bottom w:val="nil"/>
              <w:right w:val="nil"/>
            </w:tcBorders>
            <w:shd w:val="clear" w:color="000000" w:fill="FFFFFF"/>
            <w:noWrap/>
            <w:hideMark/>
          </w:tcPr>
          <w:p w14:paraId="271A99D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−4,2</w:t>
            </w:r>
          </w:p>
        </w:tc>
        <w:tc>
          <w:tcPr>
            <w:tcW w:w="554" w:type="pct"/>
            <w:tcBorders>
              <w:top w:val="nil"/>
              <w:left w:val="nil"/>
              <w:bottom w:val="nil"/>
              <w:right w:val="nil"/>
            </w:tcBorders>
            <w:shd w:val="clear" w:color="000000" w:fill="FFFFFF"/>
            <w:noWrap/>
            <w:hideMark/>
          </w:tcPr>
          <w:p w14:paraId="428DD38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−32,3</w:t>
            </w:r>
          </w:p>
        </w:tc>
      </w:tr>
      <w:tr w:rsidR="002E4D99" w:rsidRPr="00367BEC" w14:paraId="3BD4153E" w14:textId="77777777" w:rsidTr="00865510">
        <w:trPr>
          <w:trHeight w:val="20"/>
        </w:trPr>
        <w:tc>
          <w:tcPr>
            <w:tcW w:w="631" w:type="pct"/>
            <w:tcBorders>
              <w:top w:val="nil"/>
              <w:left w:val="nil"/>
              <w:bottom w:val="nil"/>
              <w:right w:val="nil"/>
            </w:tcBorders>
            <w:shd w:val="clear" w:color="000000" w:fill="FFFFFF"/>
            <w:noWrap/>
            <w:hideMark/>
          </w:tcPr>
          <w:p w14:paraId="6D95CC3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26C87BD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744334A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MFHW</w:t>
            </w:r>
          </w:p>
        </w:tc>
        <w:tc>
          <w:tcPr>
            <w:tcW w:w="258" w:type="pct"/>
            <w:tcBorders>
              <w:top w:val="nil"/>
              <w:left w:val="nil"/>
              <w:bottom w:val="nil"/>
              <w:right w:val="nil"/>
            </w:tcBorders>
            <w:shd w:val="clear" w:color="000000" w:fill="FFFFFF"/>
            <w:noWrap/>
            <w:hideMark/>
          </w:tcPr>
          <w:p w14:paraId="5148C7A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1,1</w:t>
            </w:r>
          </w:p>
        </w:tc>
        <w:tc>
          <w:tcPr>
            <w:tcW w:w="527" w:type="pct"/>
            <w:tcBorders>
              <w:top w:val="nil"/>
              <w:left w:val="nil"/>
              <w:bottom w:val="nil"/>
              <w:right w:val="nil"/>
            </w:tcBorders>
            <w:shd w:val="clear" w:color="000000" w:fill="FFFFFF"/>
            <w:noWrap/>
            <w:hideMark/>
          </w:tcPr>
          <w:p w14:paraId="702161B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(0,8)</w:t>
            </w:r>
          </w:p>
        </w:tc>
        <w:tc>
          <w:tcPr>
            <w:tcW w:w="194" w:type="pct"/>
            <w:tcBorders>
              <w:top w:val="nil"/>
              <w:left w:val="nil"/>
              <w:bottom w:val="nil"/>
              <w:right w:val="nil"/>
            </w:tcBorders>
            <w:shd w:val="clear" w:color="000000" w:fill="FFFFFF"/>
            <w:noWrap/>
            <w:hideMark/>
          </w:tcPr>
          <w:p w14:paraId="4BAE547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w:t>
            </w:r>
          </w:p>
        </w:tc>
        <w:tc>
          <w:tcPr>
            <w:tcW w:w="529" w:type="pct"/>
            <w:tcBorders>
              <w:top w:val="nil"/>
              <w:left w:val="nil"/>
              <w:bottom w:val="nil"/>
              <w:right w:val="nil"/>
            </w:tcBorders>
            <w:shd w:val="clear" w:color="000000" w:fill="FFFFFF"/>
            <w:noWrap/>
            <w:hideMark/>
          </w:tcPr>
          <w:p w14:paraId="79EC237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(1,4)</w:t>
            </w:r>
          </w:p>
        </w:tc>
        <w:tc>
          <w:tcPr>
            <w:tcW w:w="383" w:type="pct"/>
            <w:tcBorders>
              <w:top w:val="nil"/>
              <w:left w:val="nil"/>
              <w:bottom w:val="nil"/>
              <w:right w:val="nil"/>
            </w:tcBorders>
            <w:shd w:val="clear" w:color="000000" w:fill="FFFFFF"/>
            <w:noWrap/>
            <w:hideMark/>
          </w:tcPr>
          <w:p w14:paraId="73186C55"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0,6</w:t>
            </w:r>
          </w:p>
        </w:tc>
        <w:tc>
          <w:tcPr>
            <w:tcW w:w="554" w:type="pct"/>
            <w:tcBorders>
              <w:top w:val="nil"/>
              <w:left w:val="nil"/>
              <w:bottom w:val="nil"/>
              <w:right w:val="nil"/>
            </w:tcBorders>
            <w:shd w:val="clear" w:color="000000" w:fill="FFFFFF"/>
            <w:noWrap/>
            <w:hideMark/>
          </w:tcPr>
          <w:p w14:paraId="0B00E168"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54,5</w:t>
            </w:r>
          </w:p>
        </w:tc>
      </w:tr>
      <w:tr w:rsidR="002E4D99" w:rsidRPr="00367BEC" w14:paraId="763E4E0A" w14:textId="77777777" w:rsidTr="00865510">
        <w:trPr>
          <w:trHeight w:val="20"/>
        </w:trPr>
        <w:tc>
          <w:tcPr>
            <w:tcW w:w="631" w:type="pct"/>
            <w:tcBorders>
              <w:top w:val="nil"/>
              <w:left w:val="nil"/>
              <w:bottom w:val="nil"/>
              <w:right w:val="nil"/>
            </w:tcBorders>
            <w:shd w:val="clear" w:color="000000" w:fill="FFFFFF"/>
            <w:noWrap/>
            <w:hideMark/>
          </w:tcPr>
          <w:p w14:paraId="523FC9C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nil"/>
              <w:right w:val="nil"/>
            </w:tcBorders>
            <w:shd w:val="clear" w:color="000000" w:fill="FFFFFF"/>
            <w:noWrap/>
            <w:hideMark/>
          </w:tcPr>
          <w:p w14:paraId="742CEAD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nil"/>
              <w:right w:val="nil"/>
            </w:tcBorders>
            <w:shd w:val="clear" w:color="000000" w:fill="FFFFFF"/>
            <w:noWrap/>
            <w:hideMark/>
          </w:tcPr>
          <w:p w14:paraId="7A39937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(individual)</w:t>
            </w:r>
          </w:p>
        </w:tc>
        <w:tc>
          <w:tcPr>
            <w:tcW w:w="258" w:type="pct"/>
            <w:tcBorders>
              <w:top w:val="nil"/>
              <w:left w:val="nil"/>
              <w:bottom w:val="nil"/>
              <w:right w:val="nil"/>
            </w:tcBorders>
            <w:shd w:val="clear" w:color="000000" w:fill="FFFFFF"/>
            <w:noWrap/>
            <w:hideMark/>
          </w:tcPr>
          <w:p w14:paraId="0DDA3A6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7,0</w:t>
            </w:r>
          </w:p>
        </w:tc>
        <w:tc>
          <w:tcPr>
            <w:tcW w:w="527" w:type="pct"/>
            <w:tcBorders>
              <w:top w:val="nil"/>
              <w:left w:val="nil"/>
              <w:bottom w:val="nil"/>
              <w:right w:val="nil"/>
            </w:tcBorders>
            <w:shd w:val="clear" w:color="000000" w:fill="FFFFFF"/>
            <w:noWrap/>
            <w:hideMark/>
          </w:tcPr>
          <w:p w14:paraId="07FE7D7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(2,3)</w:t>
            </w:r>
          </w:p>
        </w:tc>
        <w:tc>
          <w:tcPr>
            <w:tcW w:w="194" w:type="pct"/>
            <w:tcBorders>
              <w:top w:val="nil"/>
              <w:left w:val="nil"/>
              <w:bottom w:val="nil"/>
              <w:right w:val="nil"/>
            </w:tcBorders>
            <w:shd w:val="clear" w:color="000000" w:fill="FFFFFF"/>
            <w:noWrap/>
            <w:hideMark/>
          </w:tcPr>
          <w:p w14:paraId="4920437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4,2</w:t>
            </w:r>
          </w:p>
        </w:tc>
        <w:tc>
          <w:tcPr>
            <w:tcW w:w="529" w:type="pct"/>
            <w:tcBorders>
              <w:top w:val="nil"/>
              <w:left w:val="nil"/>
              <w:bottom w:val="nil"/>
              <w:right w:val="nil"/>
            </w:tcBorders>
            <w:shd w:val="clear" w:color="000000" w:fill="FFFFFF"/>
            <w:noWrap/>
            <w:hideMark/>
          </w:tcPr>
          <w:p w14:paraId="75C8915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(3,4)</w:t>
            </w:r>
          </w:p>
        </w:tc>
        <w:tc>
          <w:tcPr>
            <w:tcW w:w="383" w:type="pct"/>
            <w:tcBorders>
              <w:top w:val="nil"/>
              <w:left w:val="nil"/>
              <w:bottom w:val="nil"/>
              <w:right w:val="nil"/>
            </w:tcBorders>
            <w:shd w:val="clear" w:color="000000" w:fill="FFFFFF"/>
            <w:noWrap/>
            <w:hideMark/>
          </w:tcPr>
          <w:p w14:paraId="2A7C3BB4"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−2,8</w:t>
            </w:r>
          </w:p>
        </w:tc>
        <w:tc>
          <w:tcPr>
            <w:tcW w:w="554" w:type="pct"/>
            <w:tcBorders>
              <w:top w:val="nil"/>
              <w:left w:val="nil"/>
              <w:bottom w:val="nil"/>
              <w:right w:val="nil"/>
            </w:tcBorders>
            <w:shd w:val="clear" w:color="000000" w:fill="FFFFFF"/>
            <w:noWrap/>
            <w:hideMark/>
          </w:tcPr>
          <w:p w14:paraId="7B0B295A"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−40,0</w:t>
            </w:r>
          </w:p>
        </w:tc>
      </w:tr>
      <w:tr w:rsidR="002E4D99" w:rsidRPr="00367BEC" w14:paraId="69A4204B" w14:textId="77777777" w:rsidTr="00865510">
        <w:trPr>
          <w:trHeight w:val="20"/>
        </w:trPr>
        <w:tc>
          <w:tcPr>
            <w:tcW w:w="631" w:type="pct"/>
            <w:tcBorders>
              <w:top w:val="nil"/>
              <w:left w:val="nil"/>
              <w:bottom w:val="single" w:sz="8" w:space="0" w:color="auto"/>
              <w:right w:val="nil"/>
            </w:tcBorders>
            <w:shd w:val="clear" w:color="000000" w:fill="FFFFFF"/>
            <w:noWrap/>
            <w:hideMark/>
          </w:tcPr>
          <w:p w14:paraId="4F44C8A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90" w:type="pct"/>
            <w:tcBorders>
              <w:top w:val="nil"/>
              <w:left w:val="nil"/>
              <w:bottom w:val="single" w:sz="8" w:space="0" w:color="auto"/>
              <w:right w:val="nil"/>
            </w:tcBorders>
            <w:shd w:val="clear" w:color="000000" w:fill="FFFFFF"/>
            <w:noWrap/>
            <w:hideMark/>
          </w:tcPr>
          <w:p w14:paraId="1CD25B4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334" w:type="pct"/>
            <w:tcBorders>
              <w:top w:val="nil"/>
              <w:left w:val="nil"/>
              <w:bottom w:val="single" w:sz="8" w:space="0" w:color="auto"/>
              <w:right w:val="nil"/>
            </w:tcBorders>
            <w:shd w:val="clear" w:color="000000" w:fill="FFFFFF"/>
            <w:noWrap/>
            <w:hideMark/>
          </w:tcPr>
          <w:p w14:paraId="4D038303" w14:textId="3487EBC9"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(suma</w:t>
            </w:r>
            <w:r w:rsidR="004F4E9B">
              <w:rPr>
                <w:rFonts w:ascii="Times New Roman" w:hAnsi="Times New Roman"/>
                <w:color w:val="000000"/>
                <w:sz w:val="20"/>
              </w:rPr>
              <w:t>torio</w:t>
            </w:r>
            <w:r w:rsidRPr="00367BEC">
              <w:rPr>
                <w:rFonts w:ascii="Times New Roman" w:hAnsi="Times New Roman"/>
                <w:color w:val="000000"/>
                <w:sz w:val="20"/>
              </w:rPr>
              <w:t>)</w:t>
            </w:r>
          </w:p>
        </w:tc>
        <w:tc>
          <w:tcPr>
            <w:tcW w:w="258" w:type="pct"/>
            <w:tcBorders>
              <w:top w:val="nil"/>
              <w:left w:val="nil"/>
              <w:bottom w:val="single" w:sz="8" w:space="0" w:color="auto"/>
              <w:right w:val="nil"/>
            </w:tcBorders>
            <w:shd w:val="clear" w:color="000000" w:fill="FFFFFF"/>
            <w:noWrap/>
            <w:hideMark/>
          </w:tcPr>
          <w:p w14:paraId="1AC5DEF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45,6</w:t>
            </w:r>
          </w:p>
        </w:tc>
        <w:tc>
          <w:tcPr>
            <w:tcW w:w="527" w:type="pct"/>
            <w:tcBorders>
              <w:top w:val="nil"/>
              <w:left w:val="nil"/>
              <w:bottom w:val="single" w:sz="8" w:space="0" w:color="auto"/>
              <w:right w:val="nil"/>
            </w:tcBorders>
            <w:shd w:val="clear" w:color="000000" w:fill="FFFFFF"/>
            <w:noWrap/>
            <w:hideMark/>
          </w:tcPr>
          <w:p w14:paraId="34083BA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(14,0)</w:t>
            </w:r>
          </w:p>
        </w:tc>
        <w:tc>
          <w:tcPr>
            <w:tcW w:w="194" w:type="pct"/>
            <w:tcBorders>
              <w:top w:val="nil"/>
              <w:left w:val="nil"/>
              <w:bottom w:val="single" w:sz="8" w:space="0" w:color="auto"/>
              <w:right w:val="nil"/>
            </w:tcBorders>
            <w:shd w:val="clear" w:color="000000" w:fill="FFFFFF"/>
            <w:noWrap/>
            <w:hideMark/>
          </w:tcPr>
          <w:p w14:paraId="3AE5EBF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30,4</w:t>
            </w:r>
          </w:p>
        </w:tc>
        <w:tc>
          <w:tcPr>
            <w:tcW w:w="529" w:type="pct"/>
            <w:tcBorders>
              <w:top w:val="nil"/>
              <w:left w:val="nil"/>
              <w:bottom w:val="single" w:sz="8" w:space="0" w:color="auto"/>
              <w:right w:val="nil"/>
            </w:tcBorders>
            <w:shd w:val="clear" w:color="000000" w:fill="FFFFFF"/>
            <w:noWrap/>
            <w:hideMark/>
          </w:tcPr>
          <w:p w14:paraId="2199F1D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(20,4)</w:t>
            </w:r>
          </w:p>
        </w:tc>
        <w:tc>
          <w:tcPr>
            <w:tcW w:w="383" w:type="pct"/>
            <w:tcBorders>
              <w:top w:val="nil"/>
              <w:left w:val="nil"/>
              <w:bottom w:val="single" w:sz="8" w:space="0" w:color="auto"/>
              <w:right w:val="nil"/>
            </w:tcBorders>
            <w:shd w:val="clear" w:color="000000" w:fill="FFFFFF"/>
            <w:noWrap/>
            <w:hideMark/>
          </w:tcPr>
          <w:p w14:paraId="29E09FA7"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−15,2</w:t>
            </w:r>
          </w:p>
        </w:tc>
        <w:tc>
          <w:tcPr>
            <w:tcW w:w="554" w:type="pct"/>
            <w:tcBorders>
              <w:top w:val="nil"/>
              <w:left w:val="nil"/>
              <w:bottom w:val="single" w:sz="8" w:space="0" w:color="auto"/>
              <w:right w:val="nil"/>
            </w:tcBorders>
            <w:shd w:val="clear" w:color="000000" w:fill="FFFFFF"/>
            <w:noWrap/>
            <w:hideMark/>
          </w:tcPr>
          <w:p w14:paraId="29598084"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−33,3</w:t>
            </w:r>
          </w:p>
        </w:tc>
      </w:tr>
    </w:tbl>
    <w:p w14:paraId="5877BD01" w14:textId="77777777" w:rsidR="002E4D99" w:rsidRPr="00367BEC" w:rsidRDefault="002E4D99" w:rsidP="002E4D99">
      <w:pPr>
        <w:spacing w:after="0" w:line="360" w:lineRule="auto"/>
        <w:ind w:right="568"/>
        <w:jc w:val="both"/>
        <w:rPr>
          <w:rFonts w:ascii="Times New Roman" w:hAnsi="Times New Roman" w:cs="Times New Roman"/>
          <w:b/>
          <w:sz w:val="20"/>
          <w:szCs w:val="20"/>
        </w:rPr>
      </w:pPr>
    </w:p>
    <w:p w14:paraId="049AAE74" w14:textId="3E3FF3C8" w:rsidR="002E4D99" w:rsidRPr="00367BEC" w:rsidRDefault="002E4D99" w:rsidP="002E4D99">
      <w:pPr>
        <w:spacing w:after="0" w:line="240" w:lineRule="auto"/>
        <w:ind w:right="3"/>
        <w:jc w:val="both"/>
        <w:rPr>
          <w:rFonts w:ascii="Times New Roman" w:hAnsi="Times New Roman" w:cs="Times New Roman"/>
          <w:bCs/>
          <w:sz w:val="20"/>
          <w:szCs w:val="20"/>
        </w:rPr>
      </w:pPr>
      <w:r w:rsidRPr="00367BEC">
        <w:rPr>
          <w:rFonts w:ascii="Times New Roman" w:hAnsi="Times New Roman"/>
          <w:b/>
          <w:sz w:val="20"/>
        </w:rPr>
        <w:t xml:space="preserve">Abreviaturas: </w:t>
      </w:r>
      <w:r w:rsidRPr="00367BEC">
        <w:rPr>
          <w:rFonts w:ascii="Times New Roman" w:hAnsi="Times New Roman"/>
          <w:sz w:val="20"/>
        </w:rPr>
        <w:t xml:space="preserve">E (extensión), F (flexión), HADS (Escala de Ansiedad y Depresión Hospitalaria), FLI (flexión lateral izquierda), RI (rotación izquierda), m (mes), MDASI (Inventario de Síntomas de MD Anderson), MFHW (Cuestionario de Bienestar Habitual de Marburgo), </w:t>
      </w:r>
      <w:proofErr w:type="spellStart"/>
      <w:r w:rsidRPr="00367BEC">
        <w:rPr>
          <w:rFonts w:ascii="Times New Roman" w:hAnsi="Times New Roman"/>
          <w:sz w:val="20"/>
        </w:rPr>
        <w:t>mPDI</w:t>
      </w:r>
      <w:proofErr w:type="spellEnd"/>
      <w:r w:rsidRPr="00367BEC">
        <w:rPr>
          <w:rFonts w:ascii="Times New Roman" w:hAnsi="Times New Roman"/>
          <w:sz w:val="20"/>
        </w:rPr>
        <w:t xml:space="preserve"> (Índice de Discapacidad por Dolor modificado), NDI (Índice de discapacidad cervical), EVN (escala de valoración numérica), ODQ (Cuestionario de Discapacidad de </w:t>
      </w:r>
      <w:proofErr w:type="spellStart"/>
      <w:r w:rsidRPr="00367BEC">
        <w:rPr>
          <w:rFonts w:ascii="Times New Roman" w:hAnsi="Times New Roman"/>
          <w:sz w:val="20"/>
        </w:rPr>
        <w:t>Oswestry</w:t>
      </w:r>
      <w:proofErr w:type="spellEnd"/>
      <w:r w:rsidRPr="00367BEC">
        <w:rPr>
          <w:rFonts w:ascii="Times New Roman" w:hAnsi="Times New Roman"/>
          <w:sz w:val="20"/>
        </w:rPr>
        <w:t>), OXN (oxicodona/naloxona), PR (</w:t>
      </w:r>
      <w:r w:rsidR="00784720">
        <w:rPr>
          <w:rFonts w:ascii="Times New Roman" w:hAnsi="Times New Roman"/>
          <w:sz w:val="20"/>
        </w:rPr>
        <w:t>liberación prolongada</w:t>
      </w:r>
      <w:r w:rsidRPr="00367BEC">
        <w:rPr>
          <w:rFonts w:ascii="Times New Roman" w:hAnsi="Times New Roman"/>
          <w:sz w:val="20"/>
        </w:rPr>
        <w:t>), PSI (</w:t>
      </w:r>
      <w:r w:rsidR="00E367C8">
        <w:rPr>
          <w:rFonts w:ascii="Times New Roman" w:hAnsi="Times New Roman"/>
          <w:sz w:val="20"/>
        </w:rPr>
        <w:t>i</w:t>
      </w:r>
      <w:r w:rsidRPr="00367BEC">
        <w:rPr>
          <w:rFonts w:ascii="Times New Roman" w:hAnsi="Times New Roman"/>
          <w:sz w:val="20"/>
        </w:rPr>
        <w:t xml:space="preserve">nterferencia en el sueño asociada al dolor), FLD (flexión lateral derecha), </w:t>
      </w:r>
      <w:proofErr w:type="spellStart"/>
      <w:r w:rsidR="00E367C8">
        <w:rPr>
          <w:rFonts w:ascii="Times New Roman" w:hAnsi="Times New Roman"/>
          <w:sz w:val="20"/>
        </w:rPr>
        <w:t>R</w:t>
      </w:r>
      <w:r w:rsidR="00E367C8" w:rsidRPr="00367BEC">
        <w:rPr>
          <w:rFonts w:ascii="Times New Roman" w:hAnsi="Times New Roman"/>
          <w:sz w:val="20"/>
        </w:rPr>
        <w:t>dM</w:t>
      </w:r>
      <w:proofErr w:type="spellEnd"/>
      <w:r w:rsidR="00E367C8" w:rsidRPr="00367BEC">
        <w:rPr>
          <w:rFonts w:ascii="Times New Roman" w:hAnsi="Times New Roman"/>
          <w:sz w:val="20"/>
        </w:rPr>
        <w:t xml:space="preserve"> </w:t>
      </w:r>
      <w:r w:rsidRPr="00367BEC">
        <w:rPr>
          <w:rFonts w:ascii="Times New Roman" w:hAnsi="Times New Roman"/>
          <w:sz w:val="20"/>
        </w:rPr>
        <w:t>(</w:t>
      </w:r>
      <w:r w:rsidR="00E367C8">
        <w:rPr>
          <w:rFonts w:ascii="Times New Roman" w:hAnsi="Times New Roman"/>
          <w:sz w:val="20"/>
        </w:rPr>
        <w:t>rango</w:t>
      </w:r>
      <w:r w:rsidR="00E367C8" w:rsidRPr="00367BEC">
        <w:rPr>
          <w:rFonts w:ascii="Times New Roman" w:hAnsi="Times New Roman"/>
          <w:sz w:val="20"/>
        </w:rPr>
        <w:t xml:space="preserve"> </w:t>
      </w:r>
      <w:r w:rsidRPr="00367BEC">
        <w:rPr>
          <w:rFonts w:ascii="Times New Roman" w:hAnsi="Times New Roman"/>
          <w:sz w:val="20"/>
        </w:rPr>
        <w:t xml:space="preserve">de movimiento), RD (rotación derecha), EE (error estándar), TAP (tapentadol), </w:t>
      </w:r>
      <w:proofErr w:type="spellStart"/>
      <w:r w:rsidRPr="00367BEC">
        <w:rPr>
          <w:rFonts w:ascii="Times New Roman" w:hAnsi="Times New Roman"/>
          <w:sz w:val="20"/>
        </w:rPr>
        <w:t>um</w:t>
      </w:r>
      <w:proofErr w:type="spellEnd"/>
      <w:r w:rsidRPr="00367BEC">
        <w:rPr>
          <w:rFonts w:ascii="Times New Roman" w:hAnsi="Times New Roman"/>
          <w:sz w:val="20"/>
        </w:rPr>
        <w:t>-PEA (</w:t>
      </w:r>
      <w:proofErr w:type="spellStart"/>
      <w:r w:rsidRPr="00367BEC">
        <w:rPr>
          <w:rFonts w:ascii="Times New Roman" w:hAnsi="Times New Roman"/>
          <w:sz w:val="20"/>
        </w:rPr>
        <w:t>palmitoiletanolamida</w:t>
      </w:r>
      <w:proofErr w:type="spellEnd"/>
      <w:r w:rsidRPr="00367BEC">
        <w:rPr>
          <w:rFonts w:ascii="Times New Roman" w:hAnsi="Times New Roman"/>
          <w:sz w:val="20"/>
        </w:rPr>
        <w:t xml:space="preserve"> </w:t>
      </w:r>
      <w:proofErr w:type="spellStart"/>
      <w:r w:rsidRPr="00367BEC">
        <w:rPr>
          <w:rFonts w:ascii="Times New Roman" w:hAnsi="Times New Roman"/>
          <w:sz w:val="20"/>
        </w:rPr>
        <w:t>ultramicronizada</w:t>
      </w:r>
      <w:proofErr w:type="spellEnd"/>
      <w:r w:rsidRPr="00367BEC">
        <w:rPr>
          <w:rFonts w:ascii="Times New Roman" w:hAnsi="Times New Roman"/>
          <w:sz w:val="20"/>
        </w:rPr>
        <w:t xml:space="preserve">), </w:t>
      </w:r>
      <w:proofErr w:type="spellStart"/>
      <w:r w:rsidRPr="00367BEC">
        <w:rPr>
          <w:rFonts w:ascii="Times New Roman" w:hAnsi="Times New Roman"/>
          <w:sz w:val="20"/>
        </w:rPr>
        <w:t>sem</w:t>
      </w:r>
      <w:proofErr w:type="spellEnd"/>
      <w:r w:rsidRPr="00367BEC">
        <w:rPr>
          <w:rFonts w:ascii="Times New Roman" w:hAnsi="Times New Roman"/>
          <w:sz w:val="20"/>
        </w:rPr>
        <w:t xml:space="preserve"> (semana); </w:t>
      </w:r>
      <w:r w:rsidRPr="00367BEC">
        <w:rPr>
          <w:rFonts w:ascii="Times New Roman" w:hAnsi="Times New Roman"/>
          <w:color w:val="000000"/>
          <w:sz w:val="20"/>
        </w:rPr>
        <w:t>los datos representan la media (DE) o la mediana [</w:t>
      </w:r>
      <w:r w:rsidR="003C66E0">
        <w:rPr>
          <w:rFonts w:ascii="Times New Roman" w:hAnsi="Times New Roman"/>
          <w:color w:val="000000"/>
          <w:sz w:val="20"/>
        </w:rPr>
        <w:t>R</w:t>
      </w:r>
      <w:r w:rsidR="003C66E0" w:rsidRPr="00367BEC">
        <w:rPr>
          <w:rFonts w:ascii="Times New Roman" w:hAnsi="Times New Roman"/>
          <w:color w:val="000000"/>
          <w:sz w:val="20"/>
        </w:rPr>
        <w:t>IC</w:t>
      </w:r>
      <w:r w:rsidRPr="00367BEC">
        <w:rPr>
          <w:rFonts w:ascii="Times New Roman" w:hAnsi="Times New Roman"/>
          <w:color w:val="000000"/>
          <w:sz w:val="20"/>
        </w:rPr>
        <w:t xml:space="preserve">] a menos que se indique lo contrario; los números en </w:t>
      </w:r>
      <w:r w:rsidRPr="00367BEC">
        <w:rPr>
          <w:rFonts w:ascii="Times New Roman" w:hAnsi="Times New Roman"/>
          <w:i/>
          <w:color w:val="000000"/>
          <w:sz w:val="20"/>
        </w:rPr>
        <w:t>cursiva</w:t>
      </w:r>
      <w:r w:rsidRPr="00367BEC">
        <w:rPr>
          <w:rFonts w:ascii="Times New Roman" w:hAnsi="Times New Roman"/>
          <w:color w:val="000000"/>
          <w:sz w:val="20"/>
        </w:rPr>
        <w:t xml:space="preserve"> se han estimado a partir de datos proporcionados en el manuscrito</w:t>
      </w:r>
      <w:r w:rsidRPr="00367BEC">
        <w:rPr>
          <w:rFonts w:ascii="Times New Roman" w:hAnsi="Times New Roman"/>
          <w:sz w:val="20"/>
        </w:rPr>
        <w:t xml:space="preserve">; </w:t>
      </w:r>
      <w:r w:rsidRPr="00367BEC">
        <w:rPr>
          <w:rFonts w:ascii="Times New Roman" w:hAnsi="Times New Roman"/>
          <w:color w:val="000000"/>
          <w:sz w:val="20"/>
        </w:rPr>
        <w:t xml:space="preserve">las diferencias entre cohortes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r w:rsidRPr="00367BEC">
        <w:rPr>
          <w:rFonts w:ascii="Times New Roman" w:hAnsi="Times New Roman"/>
          <w:b/>
          <w:color w:val="000000"/>
          <w:sz w:val="20"/>
          <w:vertAlign w:val="superscript"/>
        </w:rPr>
        <w:t>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r w:rsidRPr="00367BEC">
        <w:rPr>
          <w:rFonts w:ascii="Times New Roman" w:hAnsi="Times New Roman"/>
          <w:b/>
          <w:color w:val="000000"/>
          <w:sz w:val="20"/>
          <w:vertAlign w:val="superscript"/>
        </w:rPr>
        <w:t>III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0,001), las diferencias </w:t>
      </w:r>
      <w:proofErr w:type="spellStart"/>
      <w:r w:rsidRPr="00367BEC">
        <w:rPr>
          <w:rFonts w:ascii="Times New Roman" w:hAnsi="Times New Roman"/>
          <w:color w:val="000000"/>
          <w:sz w:val="20"/>
        </w:rPr>
        <w:t>intracohorte</w:t>
      </w:r>
      <w:proofErr w:type="spellEnd"/>
      <w:r w:rsidRPr="00367BEC">
        <w:rPr>
          <w:rFonts w:ascii="Times New Roman" w:hAnsi="Times New Roman"/>
          <w:color w:val="000000"/>
          <w:sz w:val="20"/>
        </w:rPr>
        <w:t xml:space="preserve">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proofErr w:type="spellStart"/>
      <w:r w:rsidRPr="00367BEC">
        <w:rPr>
          <w:rFonts w:ascii="Times New Roman" w:hAnsi="Times New Roman"/>
          <w:b/>
          <w:color w:val="000000"/>
          <w:sz w:val="20"/>
          <w:vertAlign w:val="superscript"/>
        </w:rPr>
        <w:t>ii</w:t>
      </w:r>
      <w:proofErr w:type="spellEnd"/>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proofErr w:type="spellStart"/>
      <w:r w:rsidRPr="00367BEC">
        <w:rPr>
          <w:rFonts w:ascii="Times New Roman" w:hAnsi="Times New Roman"/>
          <w:b/>
          <w:color w:val="000000"/>
          <w:sz w:val="20"/>
          <w:vertAlign w:val="superscript"/>
        </w:rPr>
        <w:t>iii</w:t>
      </w:r>
      <w:proofErr w:type="spellEnd"/>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&lt; 0,001).</w:t>
      </w:r>
    </w:p>
    <w:p w14:paraId="3D233883" w14:textId="77777777" w:rsidR="002E4D99" w:rsidRPr="00367BEC" w:rsidRDefault="002E4D99" w:rsidP="002E4D99">
      <w:pPr>
        <w:rPr>
          <w:rFonts w:ascii="Times New Roman" w:hAnsi="Times New Roman" w:cs="Times New Roman"/>
          <w:b/>
          <w:sz w:val="20"/>
          <w:szCs w:val="20"/>
        </w:rPr>
      </w:pPr>
      <w:r w:rsidRPr="00367BEC">
        <w:br w:type="page"/>
      </w:r>
    </w:p>
    <w:p w14:paraId="0B3BBF0D" w14:textId="77777777" w:rsidR="002E4D99" w:rsidRPr="00367BEC" w:rsidRDefault="002E4D99" w:rsidP="002E4D99">
      <w:pPr>
        <w:spacing w:after="0" w:line="240" w:lineRule="auto"/>
        <w:jc w:val="both"/>
        <w:rPr>
          <w:rFonts w:ascii="Times New Roman" w:hAnsi="Times New Roman" w:cs="Times New Roman"/>
          <w:b/>
        </w:rPr>
      </w:pPr>
      <w:r w:rsidRPr="00367BEC">
        <w:rPr>
          <w:rFonts w:ascii="Times New Roman" w:hAnsi="Times New Roman"/>
          <w:b/>
        </w:rPr>
        <w:lastRenderedPageBreak/>
        <w:t xml:space="preserve">Tabla 13. </w:t>
      </w:r>
      <w:r w:rsidRPr="00367BEC">
        <w:rPr>
          <w:rFonts w:ascii="Times New Roman" w:hAnsi="Times New Roman"/>
        </w:rPr>
        <w:t>Resultados de función, discapacidad y otros parámetros de respuesta en cada estudio</w:t>
      </w:r>
    </w:p>
    <w:p w14:paraId="0E1D17D0"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5067" w:type="pct"/>
        <w:tblLayout w:type="fixed"/>
        <w:tblCellMar>
          <w:left w:w="28" w:type="dxa"/>
          <w:right w:w="28" w:type="dxa"/>
        </w:tblCellMar>
        <w:tblLook w:val="04A0" w:firstRow="1" w:lastRow="0" w:firstColumn="1" w:lastColumn="0" w:noHBand="0" w:noVBand="1"/>
      </w:tblPr>
      <w:tblGrid>
        <w:gridCol w:w="1516"/>
        <w:gridCol w:w="1418"/>
        <w:gridCol w:w="2719"/>
        <w:gridCol w:w="501"/>
        <w:gridCol w:w="446"/>
        <w:gridCol w:w="600"/>
        <w:gridCol w:w="531"/>
        <w:gridCol w:w="292"/>
        <w:gridCol w:w="1094"/>
        <w:gridCol w:w="1041"/>
        <w:gridCol w:w="1335"/>
      </w:tblGrid>
      <w:tr w:rsidR="002E4D99" w:rsidRPr="00367BEC" w14:paraId="7DAC45F3" w14:textId="77777777" w:rsidTr="00CF1C1E">
        <w:trPr>
          <w:trHeight w:val="283"/>
        </w:trPr>
        <w:tc>
          <w:tcPr>
            <w:tcW w:w="659" w:type="pct"/>
            <w:tcBorders>
              <w:top w:val="nil"/>
              <w:left w:val="nil"/>
              <w:bottom w:val="single" w:sz="8" w:space="0" w:color="auto"/>
              <w:right w:val="nil"/>
            </w:tcBorders>
            <w:shd w:val="clear" w:color="000000" w:fill="FFFFFF"/>
            <w:noWrap/>
            <w:vAlign w:val="center"/>
            <w:hideMark/>
          </w:tcPr>
          <w:p w14:paraId="0D2741FC"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Referencia</w:t>
            </w:r>
          </w:p>
        </w:tc>
        <w:tc>
          <w:tcPr>
            <w:tcW w:w="617" w:type="pct"/>
            <w:tcBorders>
              <w:top w:val="nil"/>
              <w:left w:val="nil"/>
              <w:bottom w:val="single" w:sz="8" w:space="0" w:color="auto"/>
              <w:right w:val="nil"/>
            </w:tcBorders>
            <w:shd w:val="clear" w:color="000000" w:fill="FFFFFF"/>
            <w:noWrap/>
            <w:vAlign w:val="center"/>
            <w:hideMark/>
          </w:tcPr>
          <w:p w14:paraId="361B159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Cohorte</w:t>
            </w:r>
          </w:p>
        </w:tc>
        <w:tc>
          <w:tcPr>
            <w:tcW w:w="1183" w:type="pct"/>
            <w:tcBorders>
              <w:top w:val="nil"/>
              <w:left w:val="nil"/>
              <w:bottom w:val="single" w:sz="8" w:space="0" w:color="auto"/>
              <w:right w:val="nil"/>
            </w:tcBorders>
            <w:shd w:val="clear" w:color="000000" w:fill="FFFFFF"/>
            <w:noWrap/>
            <w:vAlign w:val="center"/>
            <w:hideMark/>
          </w:tcPr>
          <w:p w14:paraId="48185923"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Prueba</w:t>
            </w:r>
          </w:p>
        </w:tc>
        <w:tc>
          <w:tcPr>
            <w:tcW w:w="412" w:type="pct"/>
            <w:gridSpan w:val="2"/>
            <w:tcBorders>
              <w:top w:val="nil"/>
              <w:left w:val="nil"/>
              <w:bottom w:val="single" w:sz="8" w:space="0" w:color="auto"/>
              <w:right w:val="nil"/>
            </w:tcBorders>
            <w:shd w:val="clear" w:color="000000" w:fill="FFFFFF"/>
            <w:noWrap/>
            <w:vAlign w:val="center"/>
            <w:hideMark/>
          </w:tcPr>
          <w:p w14:paraId="6920634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Inicio (%)</w:t>
            </w:r>
          </w:p>
        </w:tc>
        <w:tc>
          <w:tcPr>
            <w:tcW w:w="260" w:type="pct"/>
            <w:tcBorders>
              <w:top w:val="nil"/>
              <w:left w:val="nil"/>
              <w:bottom w:val="single" w:sz="8" w:space="0" w:color="auto"/>
              <w:right w:val="nil"/>
            </w:tcBorders>
            <w:shd w:val="clear" w:color="000000" w:fill="FFFFFF"/>
            <w:noWrap/>
            <w:vAlign w:val="center"/>
            <w:hideMark/>
          </w:tcPr>
          <w:p w14:paraId="1A8DE3FA"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(n/N)</w:t>
            </w:r>
          </w:p>
        </w:tc>
        <w:tc>
          <w:tcPr>
            <w:tcW w:w="358" w:type="pct"/>
            <w:gridSpan w:val="2"/>
            <w:tcBorders>
              <w:top w:val="nil"/>
              <w:left w:val="nil"/>
              <w:bottom w:val="single" w:sz="8" w:space="0" w:color="auto"/>
              <w:right w:val="nil"/>
            </w:tcBorders>
            <w:shd w:val="clear" w:color="000000" w:fill="FFFFFF"/>
            <w:noWrap/>
            <w:vAlign w:val="center"/>
            <w:hideMark/>
          </w:tcPr>
          <w:p w14:paraId="506FBC58"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Final (%)</w:t>
            </w:r>
          </w:p>
        </w:tc>
        <w:tc>
          <w:tcPr>
            <w:tcW w:w="476" w:type="pct"/>
            <w:tcBorders>
              <w:top w:val="nil"/>
              <w:left w:val="nil"/>
              <w:bottom w:val="single" w:sz="8" w:space="0" w:color="auto"/>
              <w:right w:val="nil"/>
            </w:tcBorders>
            <w:shd w:val="clear" w:color="000000" w:fill="FFFFFF"/>
            <w:noWrap/>
            <w:vAlign w:val="center"/>
            <w:hideMark/>
          </w:tcPr>
          <w:p w14:paraId="69996398"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(n/N)</w:t>
            </w:r>
          </w:p>
        </w:tc>
        <w:tc>
          <w:tcPr>
            <w:tcW w:w="453" w:type="pct"/>
            <w:tcBorders>
              <w:top w:val="nil"/>
              <w:left w:val="nil"/>
              <w:bottom w:val="single" w:sz="8" w:space="0" w:color="auto"/>
              <w:right w:val="nil"/>
            </w:tcBorders>
            <w:shd w:val="clear" w:color="000000" w:fill="FFFFFF"/>
            <w:vAlign w:val="center"/>
            <w:hideMark/>
          </w:tcPr>
          <w:p w14:paraId="3C8EA013"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absoluto</w:t>
            </w:r>
          </w:p>
        </w:tc>
        <w:tc>
          <w:tcPr>
            <w:tcW w:w="582" w:type="pct"/>
            <w:tcBorders>
              <w:top w:val="nil"/>
              <w:left w:val="nil"/>
              <w:bottom w:val="single" w:sz="8" w:space="0" w:color="auto"/>
              <w:right w:val="nil"/>
            </w:tcBorders>
            <w:shd w:val="clear" w:color="000000" w:fill="FFFFFF"/>
            <w:vAlign w:val="center"/>
            <w:hideMark/>
          </w:tcPr>
          <w:p w14:paraId="469FDB48"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Δ relativo (%)</w:t>
            </w:r>
          </w:p>
        </w:tc>
      </w:tr>
      <w:tr w:rsidR="002E4D99" w:rsidRPr="00367BEC" w14:paraId="43301EC7" w14:textId="77777777" w:rsidTr="00CF1C1E">
        <w:trPr>
          <w:trHeight w:val="225"/>
        </w:trPr>
        <w:tc>
          <w:tcPr>
            <w:tcW w:w="659" w:type="pct"/>
            <w:tcBorders>
              <w:top w:val="nil"/>
              <w:left w:val="nil"/>
              <w:bottom w:val="nil"/>
              <w:right w:val="nil"/>
            </w:tcBorders>
            <w:shd w:val="clear" w:color="000000" w:fill="FFFFFF"/>
            <w:noWrap/>
            <w:vAlign w:val="center"/>
            <w:hideMark/>
          </w:tcPr>
          <w:p w14:paraId="5504719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Passavanti</w:t>
            </w:r>
            <w:proofErr w:type="spellEnd"/>
            <w:r w:rsidRPr="00367BEC">
              <w:rPr>
                <w:rFonts w:ascii="Times New Roman" w:hAnsi="Times New Roman"/>
                <w:color w:val="000000"/>
                <w:sz w:val="20"/>
              </w:rPr>
              <w:t xml:space="preserve"> 2017</w:t>
            </w:r>
          </w:p>
        </w:tc>
        <w:tc>
          <w:tcPr>
            <w:tcW w:w="617" w:type="pct"/>
            <w:tcBorders>
              <w:top w:val="nil"/>
              <w:left w:val="nil"/>
              <w:bottom w:val="nil"/>
              <w:right w:val="nil"/>
            </w:tcBorders>
            <w:shd w:val="clear" w:color="000000" w:fill="FFFFFF"/>
            <w:noWrap/>
            <w:vAlign w:val="center"/>
            <w:hideMark/>
          </w:tcPr>
          <w:p w14:paraId="2686808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1183" w:type="pct"/>
            <w:tcBorders>
              <w:top w:val="nil"/>
              <w:left w:val="nil"/>
              <w:bottom w:val="nil"/>
              <w:right w:val="nil"/>
            </w:tcBorders>
            <w:shd w:val="clear" w:color="000000" w:fill="FFFFFF"/>
            <w:noWrap/>
            <w:vAlign w:val="center"/>
            <w:hideMark/>
          </w:tcPr>
          <w:p w14:paraId="10FC95C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 ↓≥15 (%)</w:t>
            </w:r>
          </w:p>
        </w:tc>
        <w:tc>
          <w:tcPr>
            <w:tcW w:w="218" w:type="pct"/>
            <w:tcBorders>
              <w:top w:val="nil"/>
              <w:left w:val="nil"/>
              <w:bottom w:val="nil"/>
              <w:right w:val="nil"/>
            </w:tcBorders>
            <w:shd w:val="clear" w:color="000000" w:fill="FFFFFF"/>
            <w:noWrap/>
            <w:hideMark/>
          </w:tcPr>
          <w:p w14:paraId="4509CC2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nil"/>
              <w:left w:val="nil"/>
              <w:bottom w:val="nil"/>
              <w:right w:val="nil"/>
            </w:tcBorders>
            <w:shd w:val="clear" w:color="000000" w:fill="FFFFFF"/>
            <w:noWrap/>
            <w:hideMark/>
          </w:tcPr>
          <w:p w14:paraId="23E8DE9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nil"/>
              <w:left w:val="nil"/>
              <w:bottom w:val="nil"/>
              <w:right w:val="nil"/>
            </w:tcBorders>
            <w:shd w:val="clear" w:color="000000" w:fill="FFFFFF"/>
            <w:noWrap/>
            <w:vAlign w:val="center"/>
            <w:hideMark/>
          </w:tcPr>
          <w:p w14:paraId="37B0F19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24,0</w:t>
            </w:r>
          </w:p>
        </w:tc>
        <w:tc>
          <w:tcPr>
            <w:tcW w:w="602" w:type="pct"/>
            <w:gridSpan w:val="2"/>
            <w:tcBorders>
              <w:top w:val="nil"/>
              <w:left w:val="nil"/>
              <w:bottom w:val="nil"/>
              <w:right w:val="nil"/>
            </w:tcBorders>
            <w:shd w:val="clear" w:color="000000" w:fill="FFFFFF"/>
            <w:noWrap/>
            <w:vAlign w:val="center"/>
            <w:hideMark/>
          </w:tcPr>
          <w:p w14:paraId="1A3135C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6</w:t>
            </w:r>
            <w:r w:rsidRPr="00367BEC">
              <w:rPr>
                <w:rFonts w:ascii="Times New Roman" w:hAnsi="Times New Roman"/>
                <w:color w:val="000000"/>
                <w:sz w:val="20"/>
              </w:rPr>
              <w:t>/25)</w:t>
            </w:r>
            <w:r w:rsidRPr="00367BEC">
              <w:rPr>
                <w:rFonts w:ascii="Times New Roman" w:hAnsi="Times New Roman"/>
                <w:b/>
                <w:color w:val="000000"/>
                <w:sz w:val="20"/>
                <w:vertAlign w:val="superscript"/>
              </w:rPr>
              <w:t xml:space="preserve"> II</w:t>
            </w:r>
          </w:p>
        </w:tc>
        <w:tc>
          <w:tcPr>
            <w:tcW w:w="453" w:type="pct"/>
            <w:tcBorders>
              <w:top w:val="nil"/>
              <w:left w:val="nil"/>
              <w:bottom w:val="nil"/>
              <w:right w:val="nil"/>
            </w:tcBorders>
            <w:shd w:val="clear" w:color="000000" w:fill="FFFFFF"/>
            <w:noWrap/>
            <w:hideMark/>
          </w:tcPr>
          <w:p w14:paraId="6CE8D9C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nil"/>
              <w:right w:val="nil"/>
            </w:tcBorders>
            <w:shd w:val="clear" w:color="000000" w:fill="FFFFFF"/>
            <w:noWrap/>
            <w:hideMark/>
          </w:tcPr>
          <w:p w14:paraId="3BF8646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3768E8B" w14:textId="77777777" w:rsidTr="00CF1C1E">
        <w:trPr>
          <w:trHeight w:val="225"/>
        </w:trPr>
        <w:tc>
          <w:tcPr>
            <w:tcW w:w="659" w:type="pct"/>
            <w:tcBorders>
              <w:top w:val="nil"/>
              <w:left w:val="nil"/>
              <w:bottom w:val="nil"/>
              <w:right w:val="nil"/>
            </w:tcBorders>
            <w:shd w:val="clear" w:color="000000" w:fill="FFFFFF"/>
            <w:noWrap/>
            <w:hideMark/>
          </w:tcPr>
          <w:p w14:paraId="281998F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790D884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1731079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 ↓≥10 (%)</w:t>
            </w:r>
          </w:p>
        </w:tc>
        <w:tc>
          <w:tcPr>
            <w:tcW w:w="218" w:type="pct"/>
            <w:tcBorders>
              <w:top w:val="nil"/>
              <w:left w:val="nil"/>
              <w:bottom w:val="nil"/>
              <w:right w:val="nil"/>
            </w:tcBorders>
            <w:shd w:val="clear" w:color="000000" w:fill="FFFFFF"/>
            <w:noWrap/>
            <w:hideMark/>
          </w:tcPr>
          <w:p w14:paraId="4EFE28B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nil"/>
              <w:left w:val="nil"/>
              <w:bottom w:val="nil"/>
              <w:right w:val="nil"/>
            </w:tcBorders>
            <w:shd w:val="clear" w:color="000000" w:fill="FFFFFF"/>
            <w:noWrap/>
            <w:hideMark/>
          </w:tcPr>
          <w:p w14:paraId="076CD90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nil"/>
              <w:left w:val="nil"/>
              <w:bottom w:val="nil"/>
              <w:right w:val="nil"/>
            </w:tcBorders>
            <w:shd w:val="clear" w:color="000000" w:fill="FFFFFF"/>
            <w:noWrap/>
            <w:vAlign w:val="center"/>
            <w:hideMark/>
          </w:tcPr>
          <w:p w14:paraId="75CEFEF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48,0</w:t>
            </w:r>
          </w:p>
        </w:tc>
        <w:tc>
          <w:tcPr>
            <w:tcW w:w="602" w:type="pct"/>
            <w:gridSpan w:val="2"/>
            <w:tcBorders>
              <w:top w:val="nil"/>
              <w:left w:val="nil"/>
              <w:bottom w:val="nil"/>
              <w:right w:val="nil"/>
            </w:tcBorders>
            <w:shd w:val="clear" w:color="000000" w:fill="FFFFFF"/>
            <w:noWrap/>
            <w:vAlign w:val="center"/>
            <w:hideMark/>
          </w:tcPr>
          <w:p w14:paraId="21183B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12</w:t>
            </w:r>
            <w:r w:rsidRPr="00367BEC">
              <w:rPr>
                <w:rFonts w:ascii="Times New Roman" w:hAnsi="Times New Roman"/>
                <w:color w:val="000000"/>
                <w:sz w:val="20"/>
              </w:rPr>
              <w:t>/25)</w:t>
            </w:r>
            <w:r w:rsidRPr="00367BEC">
              <w:rPr>
                <w:rFonts w:ascii="Times New Roman" w:hAnsi="Times New Roman"/>
                <w:b/>
                <w:color w:val="000000"/>
                <w:sz w:val="20"/>
                <w:vertAlign w:val="superscript"/>
              </w:rPr>
              <w:t xml:space="preserve"> II</w:t>
            </w:r>
          </w:p>
        </w:tc>
        <w:tc>
          <w:tcPr>
            <w:tcW w:w="453" w:type="pct"/>
            <w:tcBorders>
              <w:top w:val="nil"/>
              <w:left w:val="nil"/>
              <w:bottom w:val="nil"/>
              <w:right w:val="nil"/>
            </w:tcBorders>
            <w:shd w:val="clear" w:color="000000" w:fill="FFFFFF"/>
            <w:noWrap/>
            <w:hideMark/>
          </w:tcPr>
          <w:p w14:paraId="39B4203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nil"/>
              <w:right w:val="nil"/>
            </w:tcBorders>
            <w:shd w:val="clear" w:color="000000" w:fill="FFFFFF"/>
            <w:noWrap/>
            <w:hideMark/>
          </w:tcPr>
          <w:p w14:paraId="4E440B6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66149389" w14:textId="77777777" w:rsidTr="00CF1C1E">
        <w:trPr>
          <w:trHeight w:val="225"/>
        </w:trPr>
        <w:tc>
          <w:tcPr>
            <w:tcW w:w="659" w:type="pct"/>
            <w:tcBorders>
              <w:top w:val="nil"/>
              <w:left w:val="nil"/>
              <w:bottom w:val="nil"/>
              <w:right w:val="nil"/>
            </w:tcBorders>
            <w:shd w:val="clear" w:color="000000" w:fill="FFFFFF"/>
            <w:noWrap/>
            <w:hideMark/>
          </w:tcPr>
          <w:p w14:paraId="1647245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single" w:sz="4" w:space="0" w:color="E7E6E6" w:themeColor="background2"/>
              <w:right w:val="nil"/>
            </w:tcBorders>
            <w:shd w:val="clear" w:color="000000" w:fill="FFFFFF"/>
            <w:noWrap/>
            <w:hideMark/>
          </w:tcPr>
          <w:p w14:paraId="424A002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single" w:sz="4" w:space="0" w:color="E7E6E6" w:themeColor="background2"/>
              <w:right w:val="nil"/>
            </w:tcBorders>
            <w:shd w:val="clear" w:color="000000" w:fill="FFFFFF"/>
            <w:noWrap/>
            <w:vAlign w:val="center"/>
            <w:hideMark/>
          </w:tcPr>
          <w:p w14:paraId="2BF4131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 ↓≥20 (%)</w:t>
            </w:r>
          </w:p>
        </w:tc>
        <w:tc>
          <w:tcPr>
            <w:tcW w:w="218" w:type="pct"/>
            <w:tcBorders>
              <w:top w:val="nil"/>
              <w:left w:val="nil"/>
              <w:bottom w:val="single" w:sz="4" w:space="0" w:color="E7E6E6" w:themeColor="background2"/>
              <w:right w:val="nil"/>
            </w:tcBorders>
            <w:shd w:val="clear" w:color="000000" w:fill="FFFFFF"/>
            <w:noWrap/>
            <w:hideMark/>
          </w:tcPr>
          <w:p w14:paraId="4D8CFAB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nil"/>
              <w:left w:val="nil"/>
              <w:bottom w:val="single" w:sz="4" w:space="0" w:color="E7E6E6" w:themeColor="background2"/>
              <w:right w:val="nil"/>
            </w:tcBorders>
            <w:shd w:val="clear" w:color="000000" w:fill="FFFFFF"/>
            <w:noWrap/>
            <w:hideMark/>
          </w:tcPr>
          <w:p w14:paraId="347A785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nil"/>
              <w:left w:val="nil"/>
              <w:bottom w:val="single" w:sz="4" w:space="0" w:color="E7E6E6" w:themeColor="background2"/>
              <w:right w:val="nil"/>
            </w:tcBorders>
            <w:shd w:val="clear" w:color="000000" w:fill="FFFFFF"/>
            <w:noWrap/>
            <w:vAlign w:val="center"/>
            <w:hideMark/>
          </w:tcPr>
          <w:p w14:paraId="5967C7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16,0</w:t>
            </w:r>
          </w:p>
        </w:tc>
        <w:tc>
          <w:tcPr>
            <w:tcW w:w="602" w:type="pct"/>
            <w:gridSpan w:val="2"/>
            <w:tcBorders>
              <w:top w:val="nil"/>
              <w:left w:val="nil"/>
              <w:bottom w:val="single" w:sz="4" w:space="0" w:color="E7E6E6" w:themeColor="background2"/>
              <w:right w:val="nil"/>
            </w:tcBorders>
            <w:shd w:val="clear" w:color="000000" w:fill="FFFFFF"/>
            <w:noWrap/>
            <w:vAlign w:val="center"/>
            <w:hideMark/>
          </w:tcPr>
          <w:p w14:paraId="7D6012B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4</w:t>
            </w:r>
            <w:r w:rsidRPr="00367BEC">
              <w:rPr>
                <w:rFonts w:ascii="Times New Roman" w:hAnsi="Times New Roman"/>
                <w:color w:val="000000"/>
                <w:sz w:val="20"/>
              </w:rPr>
              <w:t>/25)</w:t>
            </w:r>
            <w:r w:rsidRPr="00367BEC">
              <w:rPr>
                <w:rFonts w:ascii="Times New Roman" w:hAnsi="Times New Roman"/>
                <w:b/>
                <w:color w:val="000000"/>
                <w:sz w:val="20"/>
                <w:vertAlign w:val="superscript"/>
              </w:rPr>
              <w:t xml:space="preserve"> II</w:t>
            </w:r>
          </w:p>
        </w:tc>
        <w:tc>
          <w:tcPr>
            <w:tcW w:w="453" w:type="pct"/>
            <w:tcBorders>
              <w:top w:val="nil"/>
              <w:left w:val="nil"/>
              <w:bottom w:val="single" w:sz="4" w:space="0" w:color="E7E6E6" w:themeColor="background2"/>
              <w:right w:val="nil"/>
            </w:tcBorders>
            <w:shd w:val="clear" w:color="000000" w:fill="FFFFFF"/>
            <w:noWrap/>
            <w:hideMark/>
          </w:tcPr>
          <w:p w14:paraId="69B9E44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single" w:sz="4" w:space="0" w:color="E7E6E6" w:themeColor="background2"/>
              <w:right w:val="nil"/>
            </w:tcBorders>
            <w:shd w:val="clear" w:color="000000" w:fill="FFFFFF"/>
            <w:noWrap/>
            <w:hideMark/>
          </w:tcPr>
          <w:p w14:paraId="1B7802E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6F2C5293" w14:textId="77777777" w:rsidTr="00CF1C1E">
        <w:trPr>
          <w:trHeight w:val="225"/>
        </w:trPr>
        <w:tc>
          <w:tcPr>
            <w:tcW w:w="659" w:type="pct"/>
            <w:tcBorders>
              <w:top w:val="nil"/>
              <w:left w:val="nil"/>
              <w:bottom w:val="nil"/>
              <w:right w:val="nil"/>
            </w:tcBorders>
            <w:shd w:val="clear" w:color="000000" w:fill="FFFFFF"/>
            <w:noWrap/>
            <w:hideMark/>
          </w:tcPr>
          <w:p w14:paraId="3E6CE86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single" w:sz="4" w:space="0" w:color="E7E6E6" w:themeColor="background2"/>
              <w:left w:val="nil"/>
              <w:bottom w:val="nil"/>
              <w:right w:val="nil"/>
            </w:tcBorders>
            <w:shd w:val="clear" w:color="000000" w:fill="FFFFFF"/>
            <w:noWrap/>
            <w:vAlign w:val="center"/>
            <w:hideMark/>
          </w:tcPr>
          <w:p w14:paraId="731BA38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TAP + </w:t>
            </w:r>
            <w:proofErr w:type="spellStart"/>
            <w:r w:rsidRPr="00367BEC">
              <w:rPr>
                <w:rFonts w:ascii="Times New Roman" w:hAnsi="Times New Roman"/>
                <w:color w:val="000000"/>
                <w:sz w:val="20"/>
              </w:rPr>
              <w:t>um</w:t>
            </w:r>
            <w:proofErr w:type="spellEnd"/>
            <w:r w:rsidRPr="00367BEC">
              <w:rPr>
                <w:rFonts w:ascii="Times New Roman" w:hAnsi="Times New Roman"/>
                <w:color w:val="000000"/>
                <w:sz w:val="20"/>
              </w:rPr>
              <w:t>-PEA</w:t>
            </w:r>
          </w:p>
        </w:tc>
        <w:tc>
          <w:tcPr>
            <w:tcW w:w="1183" w:type="pct"/>
            <w:tcBorders>
              <w:top w:val="single" w:sz="4" w:space="0" w:color="E7E6E6" w:themeColor="background2"/>
              <w:left w:val="nil"/>
              <w:bottom w:val="nil"/>
              <w:right w:val="nil"/>
            </w:tcBorders>
            <w:shd w:val="clear" w:color="000000" w:fill="FFFFFF"/>
            <w:noWrap/>
            <w:vAlign w:val="center"/>
            <w:hideMark/>
          </w:tcPr>
          <w:p w14:paraId="065C9D0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 ↓≥15 (%)</w:t>
            </w:r>
          </w:p>
        </w:tc>
        <w:tc>
          <w:tcPr>
            <w:tcW w:w="218" w:type="pct"/>
            <w:tcBorders>
              <w:top w:val="single" w:sz="4" w:space="0" w:color="E7E6E6" w:themeColor="background2"/>
              <w:left w:val="nil"/>
              <w:bottom w:val="nil"/>
              <w:right w:val="nil"/>
            </w:tcBorders>
            <w:shd w:val="clear" w:color="000000" w:fill="FFFFFF"/>
            <w:noWrap/>
            <w:hideMark/>
          </w:tcPr>
          <w:p w14:paraId="29FFDCB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single" w:sz="4" w:space="0" w:color="E7E6E6" w:themeColor="background2"/>
              <w:left w:val="nil"/>
              <w:bottom w:val="nil"/>
              <w:right w:val="nil"/>
            </w:tcBorders>
            <w:shd w:val="clear" w:color="000000" w:fill="FFFFFF"/>
            <w:noWrap/>
            <w:hideMark/>
          </w:tcPr>
          <w:p w14:paraId="57C26E6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single" w:sz="4" w:space="0" w:color="E7E6E6" w:themeColor="background2"/>
              <w:left w:val="nil"/>
              <w:bottom w:val="nil"/>
              <w:right w:val="nil"/>
            </w:tcBorders>
            <w:shd w:val="clear" w:color="000000" w:fill="FFFFFF"/>
            <w:noWrap/>
            <w:vAlign w:val="center"/>
            <w:hideMark/>
          </w:tcPr>
          <w:p w14:paraId="591177A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70,0</w:t>
            </w:r>
          </w:p>
        </w:tc>
        <w:tc>
          <w:tcPr>
            <w:tcW w:w="602" w:type="pct"/>
            <w:gridSpan w:val="2"/>
            <w:tcBorders>
              <w:top w:val="single" w:sz="4" w:space="0" w:color="E7E6E6" w:themeColor="background2"/>
              <w:left w:val="nil"/>
              <w:bottom w:val="nil"/>
              <w:right w:val="nil"/>
            </w:tcBorders>
            <w:shd w:val="clear" w:color="000000" w:fill="FFFFFF"/>
            <w:noWrap/>
            <w:vAlign w:val="center"/>
            <w:hideMark/>
          </w:tcPr>
          <w:p w14:paraId="0E27F12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21</w:t>
            </w:r>
            <w:r w:rsidRPr="00367BEC">
              <w:rPr>
                <w:rFonts w:ascii="Times New Roman" w:hAnsi="Times New Roman"/>
                <w:color w:val="000000"/>
                <w:sz w:val="20"/>
              </w:rPr>
              <w:t>/30)</w:t>
            </w:r>
          </w:p>
        </w:tc>
        <w:tc>
          <w:tcPr>
            <w:tcW w:w="453" w:type="pct"/>
            <w:tcBorders>
              <w:top w:val="single" w:sz="4" w:space="0" w:color="E7E6E6" w:themeColor="background2"/>
              <w:left w:val="nil"/>
              <w:bottom w:val="nil"/>
              <w:right w:val="nil"/>
            </w:tcBorders>
            <w:shd w:val="clear" w:color="000000" w:fill="FFFFFF"/>
            <w:noWrap/>
            <w:hideMark/>
          </w:tcPr>
          <w:p w14:paraId="2D5C04F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single" w:sz="4" w:space="0" w:color="E7E6E6" w:themeColor="background2"/>
              <w:left w:val="nil"/>
              <w:bottom w:val="nil"/>
              <w:right w:val="nil"/>
            </w:tcBorders>
            <w:shd w:val="clear" w:color="000000" w:fill="FFFFFF"/>
            <w:noWrap/>
            <w:hideMark/>
          </w:tcPr>
          <w:p w14:paraId="3E376BB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51BB3AC6" w14:textId="77777777" w:rsidTr="00CF1C1E">
        <w:trPr>
          <w:trHeight w:val="225"/>
        </w:trPr>
        <w:tc>
          <w:tcPr>
            <w:tcW w:w="659" w:type="pct"/>
            <w:tcBorders>
              <w:top w:val="nil"/>
              <w:left w:val="nil"/>
              <w:bottom w:val="nil"/>
              <w:right w:val="nil"/>
            </w:tcBorders>
            <w:shd w:val="clear" w:color="000000" w:fill="FFFFFF"/>
            <w:noWrap/>
            <w:hideMark/>
          </w:tcPr>
          <w:p w14:paraId="1268BE5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575B3A5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61DB006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 ↓≥10 (%)</w:t>
            </w:r>
          </w:p>
        </w:tc>
        <w:tc>
          <w:tcPr>
            <w:tcW w:w="218" w:type="pct"/>
            <w:tcBorders>
              <w:top w:val="nil"/>
              <w:left w:val="nil"/>
              <w:bottom w:val="nil"/>
              <w:right w:val="nil"/>
            </w:tcBorders>
            <w:shd w:val="clear" w:color="000000" w:fill="FFFFFF"/>
            <w:noWrap/>
            <w:hideMark/>
          </w:tcPr>
          <w:p w14:paraId="29ABBB4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nil"/>
              <w:left w:val="nil"/>
              <w:bottom w:val="nil"/>
              <w:right w:val="nil"/>
            </w:tcBorders>
            <w:shd w:val="clear" w:color="000000" w:fill="FFFFFF"/>
            <w:noWrap/>
            <w:hideMark/>
          </w:tcPr>
          <w:p w14:paraId="3C3D35D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nil"/>
              <w:left w:val="nil"/>
              <w:bottom w:val="nil"/>
              <w:right w:val="nil"/>
            </w:tcBorders>
            <w:shd w:val="clear" w:color="000000" w:fill="FFFFFF"/>
            <w:noWrap/>
            <w:vAlign w:val="center"/>
            <w:hideMark/>
          </w:tcPr>
          <w:p w14:paraId="1346594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86,7</w:t>
            </w:r>
          </w:p>
        </w:tc>
        <w:tc>
          <w:tcPr>
            <w:tcW w:w="602" w:type="pct"/>
            <w:gridSpan w:val="2"/>
            <w:tcBorders>
              <w:top w:val="nil"/>
              <w:left w:val="nil"/>
              <w:bottom w:val="nil"/>
              <w:right w:val="nil"/>
            </w:tcBorders>
            <w:shd w:val="clear" w:color="000000" w:fill="FFFFFF"/>
            <w:noWrap/>
            <w:vAlign w:val="center"/>
            <w:hideMark/>
          </w:tcPr>
          <w:p w14:paraId="0CDC0E8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26</w:t>
            </w:r>
            <w:r w:rsidRPr="00367BEC">
              <w:rPr>
                <w:rFonts w:ascii="Times New Roman" w:hAnsi="Times New Roman"/>
                <w:color w:val="000000"/>
                <w:sz w:val="20"/>
              </w:rPr>
              <w:t>/30)</w:t>
            </w:r>
          </w:p>
        </w:tc>
        <w:tc>
          <w:tcPr>
            <w:tcW w:w="453" w:type="pct"/>
            <w:tcBorders>
              <w:top w:val="nil"/>
              <w:left w:val="nil"/>
              <w:bottom w:val="nil"/>
              <w:right w:val="nil"/>
            </w:tcBorders>
            <w:shd w:val="clear" w:color="000000" w:fill="FFFFFF"/>
            <w:noWrap/>
            <w:hideMark/>
          </w:tcPr>
          <w:p w14:paraId="71251B3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nil"/>
              <w:right w:val="nil"/>
            </w:tcBorders>
            <w:shd w:val="clear" w:color="000000" w:fill="FFFFFF"/>
            <w:noWrap/>
            <w:hideMark/>
          </w:tcPr>
          <w:p w14:paraId="379106B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6694E8C1" w14:textId="77777777" w:rsidTr="00CF1C1E">
        <w:trPr>
          <w:trHeight w:val="240"/>
        </w:trPr>
        <w:tc>
          <w:tcPr>
            <w:tcW w:w="659" w:type="pct"/>
            <w:tcBorders>
              <w:top w:val="nil"/>
              <w:left w:val="nil"/>
              <w:bottom w:val="single" w:sz="8" w:space="0" w:color="auto"/>
              <w:right w:val="nil"/>
            </w:tcBorders>
            <w:shd w:val="clear" w:color="000000" w:fill="FFFFFF"/>
            <w:noWrap/>
            <w:hideMark/>
          </w:tcPr>
          <w:p w14:paraId="16CAA2C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single" w:sz="8" w:space="0" w:color="auto"/>
              <w:right w:val="nil"/>
            </w:tcBorders>
            <w:shd w:val="clear" w:color="000000" w:fill="FFFFFF"/>
            <w:noWrap/>
            <w:hideMark/>
          </w:tcPr>
          <w:p w14:paraId="76D3BF3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single" w:sz="8" w:space="0" w:color="auto"/>
              <w:right w:val="nil"/>
            </w:tcBorders>
            <w:shd w:val="clear" w:color="000000" w:fill="FFFFFF"/>
            <w:noWrap/>
            <w:vAlign w:val="center"/>
            <w:hideMark/>
          </w:tcPr>
          <w:p w14:paraId="345BF57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ODQ ↓≥20 (%)</w:t>
            </w:r>
          </w:p>
        </w:tc>
        <w:tc>
          <w:tcPr>
            <w:tcW w:w="218" w:type="pct"/>
            <w:tcBorders>
              <w:top w:val="nil"/>
              <w:left w:val="nil"/>
              <w:bottom w:val="single" w:sz="8" w:space="0" w:color="auto"/>
              <w:right w:val="nil"/>
            </w:tcBorders>
            <w:shd w:val="clear" w:color="000000" w:fill="FFFFFF"/>
            <w:noWrap/>
            <w:hideMark/>
          </w:tcPr>
          <w:p w14:paraId="46E5284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nil"/>
              <w:left w:val="nil"/>
              <w:bottom w:val="single" w:sz="8" w:space="0" w:color="auto"/>
              <w:right w:val="nil"/>
            </w:tcBorders>
            <w:shd w:val="clear" w:color="000000" w:fill="FFFFFF"/>
            <w:noWrap/>
            <w:hideMark/>
          </w:tcPr>
          <w:p w14:paraId="604624C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nil"/>
              <w:left w:val="nil"/>
              <w:bottom w:val="single" w:sz="8" w:space="0" w:color="auto"/>
              <w:right w:val="nil"/>
            </w:tcBorders>
            <w:shd w:val="clear" w:color="000000" w:fill="FFFFFF"/>
            <w:noWrap/>
            <w:vAlign w:val="center"/>
            <w:hideMark/>
          </w:tcPr>
          <w:p w14:paraId="7DFD8D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53,3</w:t>
            </w:r>
          </w:p>
        </w:tc>
        <w:tc>
          <w:tcPr>
            <w:tcW w:w="602" w:type="pct"/>
            <w:gridSpan w:val="2"/>
            <w:tcBorders>
              <w:top w:val="nil"/>
              <w:left w:val="nil"/>
              <w:bottom w:val="single" w:sz="8" w:space="0" w:color="auto"/>
              <w:right w:val="nil"/>
            </w:tcBorders>
            <w:shd w:val="clear" w:color="000000" w:fill="FFFFFF"/>
            <w:noWrap/>
            <w:vAlign w:val="center"/>
            <w:hideMark/>
          </w:tcPr>
          <w:p w14:paraId="032F413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16</w:t>
            </w:r>
            <w:r w:rsidRPr="00367BEC">
              <w:rPr>
                <w:rFonts w:ascii="Times New Roman" w:hAnsi="Times New Roman"/>
                <w:color w:val="000000"/>
                <w:sz w:val="20"/>
              </w:rPr>
              <w:t>/30)</w:t>
            </w:r>
          </w:p>
        </w:tc>
        <w:tc>
          <w:tcPr>
            <w:tcW w:w="453" w:type="pct"/>
            <w:tcBorders>
              <w:top w:val="nil"/>
              <w:left w:val="nil"/>
              <w:bottom w:val="single" w:sz="8" w:space="0" w:color="auto"/>
              <w:right w:val="nil"/>
            </w:tcBorders>
            <w:shd w:val="clear" w:color="000000" w:fill="FFFFFF"/>
            <w:noWrap/>
            <w:hideMark/>
          </w:tcPr>
          <w:p w14:paraId="46E4B74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single" w:sz="8" w:space="0" w:color="auto"/>
              <w:right w:val="nil"/>
            </w:tcBorders>
            <w:shd w:val="clear" w:color="000000" w:fill="FFFFFF"/>
            <w:noWrap/>
            <w:hideMark/>
          </w:tcPr>
          <w:p w14:paraId="4F57639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05998AF9" w14:textId="77777777" w:rsidTr="00CF1C1E">
        <w:trPr>
          <w:trHeight w:val="225"/>
        </w:trPr>
        <w:tc>
          <w:tcPr>
            <w:tcW w:w="659" w:type="pct"/>
            <w:tcBorders>
              <w:top w:val="nil"/>
              <w:left w:val="nil"/>
              <w:bottom w:val="nil"/>
              <w:right w:val="nil"/>
            </w:tcBorders>
            <w:shd w:val="clear" w:color="000000" w:fill="FFFFFF"/>
            <w:noWrap/>
            <w:vAlign w:val="center"/>
            <w:hideMark/>
          </w:tcPr>
          <w:p w14:paraId="79B21DD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Ueberall</w:t>
            </w:r>
            <w:proofErr w:type="spellEnd"/>
            <w:r w:rsidRPr="00367BEC">
              <w:rPr>
                <w:rFonts w:ascii="Times New Roman" w:hAnsi="Times New Roman"/>
                <w:color w:val="000000"/>
                <w:sz w:val="20"/>
              </w:rPr>
              <w:t xml:space="preserve"> 2016</w:t>
            </w:r>
          </w:p>
        </w:tc>
        <w:tc>
          <w:tcPr>
            <w:tcW w:w="617" w:type="pct"/>
            <w:tcBorders>
              <w:top w:val="single" w:sz="8" w:space="0" w:color="auto"/>
              <w:left w:val="nil"/>
              <w:bottom w:val="single" w:sz="4" w:space="0" w:color="E7E6E6" w:themeColor="background2"/>
              <w:right w:val="nil"/>
            </w:tcBorders>
            <w:shd w:val="clear" w:color="000000" w:fill="FFFFFF"/>
            <w:noWrap/>
            <w:vAlign w:val="center"/>
            <w:hideMark/>
          </w:tcPr>
          <w:p w14:paraId="412F7FE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1183" w:type="pct"/>
            <w:tcBorders>
              <w:top w:val="single" w:sz="8" w:space="0" w:color="auto"/>
              <w:left w:val="nil"/>
              <w:bottom w:val="single" w:sz="4" w:space="0" w:color="E7E6E6" w:themeColor="background2"/>
              <w:right w:val="nil"/>
            </w:tcBorders>
            <w:shd w:val="clear" w:color="000000" w:fill="FFFFFF"/>
            <w:noWrap/>
            <w:vAlign w:val="center"/>
            <w:hideMark/>
          </w:tcPr>
          <w:p w14:paraId="564A566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↓≥30 % (%)</w:t>
            </w:r>
          </w:p>
        </w:tc>
        <w:tc>
          <w:tcPr>
            <w:tcW w:w="218" w:type="pct"/>
            <w:tcBorders>
              <w:top w:val="single" w:sz="8" w:space="0" w:color="auto"/>
              <w:left w:val="nil"/>
              <w:bottom w:val="single" w:sz="4" w:space="0" w:color="E7E6E6" w:themeColor="background2"/>
              <w:right w:val="nil"/>
            </w:tcBorders>
            <w:shd w:val="clear" w:color="000000" w:fill="FFFFFF"/>
            <w:noWrap/>
            <w:hideMark/>
          </w:tcPr>
          <w:p w14:paraId="7CE24C1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single" w:sz="8" w:space="0" w:color="auto"/>
              <w:left w:val="nil"/>
              <w:bottom w:val="single" w:sz="4" w:space="0" w:color="E7E6E6" w:themeColor="background2"/>
              <w:right w:val="nil"/>
            </w:tcBorders>
            <w:shd w:val="clear" w:color="000000" w:fill="FFFFFF"/>
            <w:noWrap/>
            <w:hideMark/>
          </w:tcPr>
          <w:p w14:paraId="108E0CE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single" w:sz="8" w:space="0" w:color="auto"/>
              <w:left w:val="nil"/>
              <w:bottom w:val="single" w:sz="4" w:space="0" w:color="E7E6E6" w:themeColor="background2"/>
              <w:right w:val="nil"/>
            </w:tcBorders>
            <w:shd w:val="clear" w:color="000000" w:fill="FFFFFF"/>
            <w:noWrap/>
            <w:vAlign w:val="center"/>
            <w:hideMark/>
          </w:tcPr>
          <w:p w14:paraId="3492188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66,9</w:t>
            </w:r>
          </w:p>
        </w:tc>
        <w:tc>
          <w:tcPr>
            <w:tcW w:w="602" w:type="pct"/>
            <w:gridSpan w:val="2"/>
            <w:tcBorders>
              <w:top w:val="single" w:sz="8" w:space="0" w:color="auto"/>
              <w:left w:val="nil"/>
              <w:bottom w:val="single" w:sz="4" w:space="0" w:color="E7E6E6" w:themeColor="background2"/>
              <w:right w:val="nil"/>
            </w:tcBorders>
            <w:shd w:val="clear" w:color="000000" w:fill="FFFFFF"/>
            <w:noWrap/>
            <w:vAlign w:val="center"/>
            <w:hideMark/>
          </w:tcPr>
          <w:p w14:paraId="63C4546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89</w:t>
            </w:r>
            <w:r w:rsidRPr="00367BEC">
              <w:rPr>
                <w:rFonts w:ascii="Times New Roman" w:hAnsi="Times New Roman"/>
                <w:color w:val="000000"/>
                <w:sz w:val="20"/>
              </w:rPr>
              <w:t>/133)</w:t>
            </w:r>
            <w:r w:rsidRPr="00367BEC">
              <w:rPr>
                <w:rFonts w:ascii="Times New Roman" w:hAnsi="Times New Roman"/>
                <w:b/>
                <w:color w:val="000000"/>
                <w:sz w:val="20"/>
                <w:vertAlign w:val="superscript"/>
              </w:rPr>
              <w:t xml:space="preserve"> I</w:t>
            </w:r>
          </w:p>
        </w:tc>
        <w:tc>
          <w:tcPr>
            <w:tcW w:w="453" w:type="pct"/>
            <w:tcBorders>
              <w:top w:val="single" w:sz="8" w:space="0" w:color="auto"/>
              <w:left w:val="nil"/>
              <w:bottom w:val="single" w:sz="4" w:space="0" w:color="E7E6E6" w:themeColor="background2"/>
              <w:right w:val="nil"/>
            </w:tcBorders>
            <w:shd w:val="clear" w:color="000000" w:fill="FFFFFF"/>
            <w:noWrap/>
            <w:hideMark/>
          </w:tcPr>
          <w:p w14:paraId="7DE7C1D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single" w:sz="8" w:space="0" w:color="auto"/>
              <w:left w:val="nil"/>
              <w:bottom w:val="single" w:sz="4" w:space="0" w:color="E7E6E6" w:themeColor="background2"/>
              <w:right w:val="nil"/>
            </w:tcBorders>
            <w:shd w:val="clear" w:color="000000" w:fill="FFFFFF"/>
            <w:noWrap/>
            <w:hideMark/>
          </w:tcPr>
          <w:p w14:paraId="3F03888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317139D" w14:textId="77777777" w:rsidTr="00CF1C1E">
        <w:trPr>
          <w:trHeight w:val="240"/>
        </w:trPr>
        <w:tc>
          <w:tcPr>
            <w:tcW w:w="659" w:type="pct"/>
            <w:tcBorders>
              <w:top w:val="nil"/>
              <w:left w:val="nil"/>
              <w:bottom w:val="single" w:sz="8" w:space="0" w:color="auto"/>
              <w:right w:val="nil"/>
            </w:tcBorders>
            <w:shd w:val="clear" w:color="000000" w:fill="FFFFFF"/>
            <w:noWrap/>
            <w:hideMark/>
          </w:tcPr>
          <w:p w14:paraId="6E7523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single" w:sz="4" w:space="0" w:color="E7E6E6" w:themeColor="background2"/>
              <w:left w:val="nil"/>
              <w:bottom w:val="single" w:sz="8" w:space="0" w:color="auto"/>
              <w:right w:val="nil"/>
            </w:tcBorders>
            <w:shd w:val="clear" w:color="000000" w:fill="FFFFFF"/>
            <w:noWrap/>
            <w:vAlign w:val="center"/>
            <w:hideMark/>
          </w:tcPr>
          <w:p w14:paraId="1EDE37C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OXN</w:t>
            </w:r>
          </w:p>
        </w:tc>
        <w:tc>
          <w:tcPr>
            <w:tcW w:w="1183" w:type="pct"/>
            <w:tcBorders>
              <w:top w:val="single" w:sz="4" w:space="0" w:color="E7E6E6" w:themeColor="background2"/>
              <w:left w:val="nil"/>
              <w:bottom w:val="single" w:sz="8" w:space="0" w:color="auto"/>
              <w:right w:val="nil"/>
            </w:tcBorders>
            <w:shd w:val="clear" w:color="000000" w:fill="FFFFFF"/>
            <w:noWrap/>
            <w:vAlign w:val="center"/>
            <w:hideMark/>
          </w:tcPr>
          <w:p w14:paraId="4E0E223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↓≥30 % (%)</w:t>
            </w:r>
          </w:p>
        </w:tc>
        <w:tc>
          <w:tcPr>
            <w:tcW w:w="218" w:type="pct"/>
            <w:tcBorders>
              <w:top w:val="single" w:sz="4" w:space="0" w:color="E7E6E6" w:themeColor="background2"/>
              <w:left w:val="nil"/>
              <w:bottom w:val="single" w:sz="8" w:space="0" w:color="auto"/>
              <w:right w:val="nil"/>
            </w:tcBorders>
            <w:shd w:val="clear" w:color="000000" w:fill="FFFFFF"/>
            <w:noWrap/>
            <w:hideMark/>
          </w:tcPr>
          <w:p w14:paraId="0F433A7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5" w:type="pct"/>
            <w:gridSpan w:val="2"/>
            <w:tcBorders>
              <w:top w:val="single" w:sz="4" w:space="0" w:color="E7E6E6" w:themeColor="background2"/>
              <w:left w:val="nil"/>
              <w:bottom w:val="single" w:sz="8" w:space="0" w:color="auto"/>
              <w:right w:val="nil"/>
            </w:tcBorders>
            <w:shd w:val="clear" w:color="000000" w:fill="FFFFFF"/>
            <w:noWrap/>
            <w:hideMark/>
          </w:tcPr>
          <w:p w14:paraId="2126168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231" w:type="pct"/>
            <w:tcBorders>
              <w:top w:val="single" w:sz="4" w:space="0" w:color="E7E6E6" w:themeColor="background2"/>
              <w:left w:val="nil"/>
              <w:bottom w:val="single" w:sz="8" w:space="0" w:color="auto"/>
              <w:right w:val="nil"/>
            </w:tcBorders>
            <w:shd w:val="clear" w:color="000000" w:fill="FFFFFF"/>
            <w:noWrap/>
            <w:vAlign w:val="center"/>
            <w:hideMark/>
          </w:tcPr>
          <w:p w14:paraId="4D3B478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78,1</w:t>
            </w:r>
          </w:p>
        </w:tc>
        <w:tc>
          <w:tcPr>
            <w:tcW w:w="602"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7634FE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(100/128)</w:t>
            </w:r>
          </w:p>
        </w:tc>
        <w:tc>
          <w:tcPr>
            <w:tcW w:w="453" w:type="pct"/>
            <w:tcBorders>
              <w:top w:val="single" w:sz="4" w:space="0" w:color="E7E6E6" w:themeColor="background2"/>
              <w:left w:val="nil"/>
              <w:bottom w:val="single" w:sz="8" w:space="0" w:color="auto"/>
              <w:right w:val="nil"/>
            </w:tcBorders>
            <w:shd w:val="clear" w:color="000000" w:fill="FFFFFF"/>
            <w:noWrap/>
            <w:hideMark/>
          </w:tcPr>
          <w:p w14:paraId="6A22037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single" w:sz="4" w:space="0" w:color="E7E6E6" w:themeColor="background2"/>
              <w:left w:val="nil"/>
              <w:bottom w:val="single" w:sz="8" w:space="0" w:color="auto"/>
              <w:right w:val="nil"/>
            </w:tcBorders>
            <w:shd w:val="clear" w:color="000000" w:fill="FFFFFF"/>
            <w:noWrap/>
            <w:hideMark/>
          </w:tcPr>
          <w:p w14:paraId="35EB68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3A403E01" w14:textId="77777777" w:rsidTr="00CF1C1E">
        <w:trPr>
          <w:trHeight w:val="225"/>
        </w:trPr>
        <w:tc>
          <w:tcPr>
            <w:tcW w:w="659" w:type="pct"/>
            <w:tcBorders>
              <w:top w:val="nil"/>
              <w:left w:val="nil"/>
              <w:bottom w:val="nil"/>
              <w:right w:val="nil"/>
            </w:tcBorders>
            <w:shd w:val="clear" w:color="000000" w:fill="FFFFFF"/>
            <w:noWrap/>
            <w:vAlign w:val="center"/>
            <w:hideMark/>
          </w:tcPr>
          <w:p w14:paraId="475823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Samolsky</w:t>
            </w:r>
            <w:proofErr w:type="spellEnd"/>
            <w:r w:rsidRPr="00367BEC">
              <w:rPr>
                <w:rFonts w:ascii="Times New Roman" w:hAnsi="Times New Roman"/>
                <w:color w:val="000000"/>
                <w:sz w:val="20"/>
              </w:rPr>
              <w:t xml:space="preserve"> 2015</w:t>
            </w:r>
          </w:p>
        </w:tc>
        <w:tc>
          <w:tcPr>
            <w:tcW w:w="617" w:type="pct"/>
            <w:tcBorders>
              <w:top w:val="nil"/>
              <w:left w:val="nil"/>
              <w:bottom w:val="nil"/>
              <w:right w:val="nil"/>
            </w:tcBorders>
            <w:shd w:val="clear" w:color="000000" w:fill="FFFFFF"/>
            <w:noWrap/>
            <w:vAlign w:val="center"/>
            <w:hideMark/>
          </w:tcPr>
          <w:p w14:paraId="1B552CE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183" w:type="pct"/>
            <w:tcBorders>
              <w:top w:val="nil"/>
              <w:left w:val="nil"/>
              <w:bottom w:val="nil"/>
              <w:right w:val="nil"/>
            </w:tcBorders>
            <w:shd w:val="clear" w:color="000000" w:fill="FFFFFF"/>
            <w:noWrap/>
            <w:vAlign w:val="center"/>
            <w:hideMark/>
          </w:tcPr>
          <w:p w14:paraId="2DA854E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I-MPSS I (%)</w:t>
            </w:r>
          </w:p>
        </w:tc>
        <w:tc>
          <w:tcPr>
            <w:tcW w:w="218" w:type="pct"/>
            <w:tcBorders>
              <w:top w:val="nil"/>
              <w:left w:val="nil"/>
              <w:bottom w:val="nil"/>
              <w:right w:val="nil"/>
            </w:tcBorders>
            <w:shd w:val="clear" w:color="000000" w:fill="FFFFFF"/>
            <w:noWrap/>
            <w:vAlign w:val="center"/>
            <w:hideMark/>
          </w:tcPr>
          <w:p w14:paraId="2DCD606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13,3</w:t>
            </w:r>
          </w:p>
        </w:tc>
        <w:tc>
          <w:tcPr>
            <w:tcW w:w="455" w:type="pct"/>
            <w:gridSpan w:val="2"/>
            <w:tcBorders>
              <w:top w:val="nil"/>
              <w:left w:val="nil"/>
              <w:bottom w:val="nil"/>
              <w:right w:val="nil"/>
            </w:tcBorders>
            <w:shd w:val="clear" w:color="000000" w:fill="FFFFFF"/>
            <w:noWrap/>
            <w:vAlign w:val="center"/>
            <w:hideMark/>
          </w:tcPr>
          <w:p w14:paraId="3AF93F3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(4/30)</w:t>
            </w:r>
          </w:p>
        </w:tc>
        <w:tc>
          <w:tcPr>
            <w:tcW w:w="231" w:type="pct"/>
            <w:tcBorders>
              <w:top w:val="nil"/>
              <w:left w:val="nil"/>
              <w:bottom w:val="nil"/>
              <w:right w:val="nil"/>
            </w:tcBorders>
            <w:shd w:val="clear" w:color="000000" w:fill="FFFFFF"/>
            <w:noWrap/>
            <w:vAlign w:val="center"/>
            <w:hideMark/>
          </w:tcPr>
          <w:p w14:paraId="06FBFAD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40,0</w:t>
            </w:r>
          </w:p>
        </w:tc>
        <w:tc>
          <w:tcPr>
            <w:tcW w:w="602" w:type="pct"/>
            <w:gridSpan w:val="2"/>
            <w:tcBorders>
              <w:top w:val="nil"/>
              <w:left w:val="nil"/>
              <w:bottom w:val="nil"/>
              <w:right w:val="nil"/>
            </w:tcBorders>
            <w:shd w:val="clear" w:color="000000" w:fill="FFFFFF"/>
            <w:noWrap/>
            <w:vAlign w:val="center"/>
            <w:hideMark/>
          </w:tcPr>
          <w:p w14:paraId="0BD3420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(12/30)</w:t>
            </w:r>
          </w:p>
        </w:tc>
        <w:tc>
          <w:tcPr>
            <w:tcW w:w="453" w:type="pct"/>
            <w:tcBorders>
              <w:top w:val="nil"/>
              <w:left w:val="nil"/>
              <w:bottom w:val="nil"/>
              <w:right w:val="nil"/>
            </w:tcBorders>
            <w:shd w:val="clear" w:color="000000" w:fill="FFFFFF"/>
            <w:noWrap/>
            <w:vAlign w:val="center"/>
            <w:hideMark/>
          </w:tcPr>
          <w:p w14:paraId="4299EA27"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26,7</w:t>
            </w:r>
          </w:p>
        </w:tc>
        <w:tc>
          <w:tcPr>
            <w:tcW w:w="582" w:type="pct"/>
            <w:tcBorders>
              <w:top w:val="nil"/>
              <w:left w:val="nil"/>
              <w:bottom w:val="nil"/>
              <w:right w:val="nil"/>
            </w:tcBorders>
            <w:shd w:val="clear" w:color="000000" w:fill="FFFFFF"/>
            <w:noWrap/>
            <w:vAlign w:val="center"/>
            <w:hideMark/>
          </w:tcPr>
          <w:p w14:paraId="25B8B68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200,8</w:t>
            </w:r>
            <w:r w:rsidRPr="00367BEC">
              <w:rPr>
                <w:rFonts w:ascii="Times New Roman" w:hAnsi="Times New Roman"/>
                <w:b/>
                <w:color w:val="000000"/>
                <w:sz w:val="20"/>
                <w:vertAlign w:val="superscript"/>
              </w:rPr>
              <w:t>n.s.</w:t>
            </w:r>
          </w:p>
        </w:tc>
      </w:tr>
      <w:tr w:rsidR="002E4D99" w:rsidRPr="00367BEC" w14:paraId="681A2A6D" w14:textId="77777777" w:rsidTr="00CF1C1E">
        <w:trPr>
          <w:trHeight w:val="225"/>
        </w:trPr>
        <w:tc>
          <w:tcPr>
            <w:tcW w:w="659" w:type="pct"/>
            <w:tcBorders>
              <w:top w:val="nil"/>
              <w:left w:val="nil"/>
              <w:bottom w:val="nil"/>
              <w:right w:val="nil"/>
            </w:tcBorders>
            <w:shd w:val="clear" w:color="000000" w:fill="FFFFFF"/>
            <w:noWrap/>
            <w:hideMark/>
          </w:tcPr>
          <w:p w14:paraId="4D976C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4532F68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4F28ACE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I-MPSS II (%)</w:t>
            </w:r>
          </w:p>
        </w:tc>
        <w:tc>
          <w:tcPr>
            <w:tcW w:w="218" w:type="pct"/>
            <w:tcBorders>
              <w:top w:val="nil"/>
              <w:left w:val="nil"/>
              <w:bottom w:val="nil"/>
              <w:right w:val="nil"/>
            </w:tcBorders>
            <w:shd w:val="clear" w:color="000000" w:fill="FFFFFF"/>
            <w:noWrap/>
            <w:vAlign w:val="center"/>
            <w:hideMark/>
          </w:tcPr>
          <w:p w14:paraId="667CF5A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46,7</w:t>
            </w:r>
          </w:p>
        </w:tc>
        <w:tc>
          <w:tcPr>
            <w:tcW w:w="455" w:type="pct"/>
            <w:gridSpan w:val="2"/>
            <w:tcBorders>
              <w:top w:val="nil"/>
              <w:left w:val="nil"/>
              <w:bottom w:val="nil"/>
              <w:right w:val="nil"/>
            </w:tcBorders>
            <w:shd w:val="clear" w:color="000000" w:fill="FFFFFF"/>
            <w:noWrap/>
            <w:vAlign w:val="center"/>
            <w:hideMark/>
          </w:tcPr>
          <w:p w14:paraId="62E9C1B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(14/30)</w:t>
            </w:r>
          </w:p>
        </w:tc>
        <w:tc>
          <w:tcPr>
            <w:tcW w:w="231" w:type="pct"/>
            <w:tcBorders>
              <w:top w:val="nil"/>
              <w:left w:val="nil"/>
              <w:bottom w:val="nil"/>
              <w:right w:val="nil"/>
            </w:tcBorders>
            <w:shd w:val="clear" w:color="000000" w:fill="FFFFFF"/>
            <w:noWrap/>
            <w:vAlign w:val="center"/>
            <w:hideMark/>
          </w:tcPr>
          <w:p w14:paraId="3CB886F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40,0</w:t>
            </w:r>
          </w:p>
        </w:tc>
        <w:tc>
          <w:tcPr>
            <w:tcW w:w="602" w:type="pct"/>
            <w:gridSpan w:val="2"/>
            <w:tcBorders>
              <w:top w:val="nil"/>
              <w:left w:val="nil"/>
              <w:bottom w:val="nil"/>
              <w:right w:val="nil"/>
            </w:tcBorders>
            <w:shd w:val="clear" w:color="000000" w:fill="FFFFFF"/>
            <w:noWrap/>
            <w:vAlign w:val="center"/>
            <w:hideMark/>
          </w:tcPr>
          <w:p w14:paraId="0E1E2ED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(12/30)</w:t>
            </w:r>
          </w:p>
        </w:tc>
        <w:tc>
          <w:tcPr>
            <w:tcW w:w="453" w:type="pct"/>
            <w:tcBorders>
              <w:top w:val="nil"/>
              <w:left w:val="nil"/>
              <w:bottom w:val="nil"/>
              <w:right w:val="nil"/>
            </w:tcBorders>
            <w:shd w:val="clear" w:color="000000" w:fill="FFFFFF"/>
            <w:noWrap/>
            <w:vAlign w:val="center"/>
            <w:hideMark/>
          </w:tcPr>
          <w:p w14:paraId="36F691D1"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−6,7</w:t>
            </w:r>
          </w:p>
        </w:tc>
        <w:tc>
          <w:tcPr>
            <w:tcW w:w="582" w:type="pct"/>
            <w:tcBorders>
              <w:top w:val="nil"/>
              <w:left w:val="nil"/>
              <w:bottom w:val="nil"/>
              <w:right w:val="nil"/>
            </w:tcBorders>
            <w:shd w:val="clear" w:color="000000" w:fill="FFFFFF"/>
            <w:noWrap/>
            <w:vAlign w:val="center"/>
            <w:hideMark/>
          </w:tcPr>
          <w:p w14:paraId="2C44D7D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−14,3</w:t>
            </w:r>
            <w:r w:rsidRPr="00367BEC">
              <w:rPr>
                <w:rFonts w:ascii="Times New Roman" w:hAnsi="Times New Roman"/>
                <w:b/>
                <w:color w:val="000000"/>
                <w:sz w:val="20"/>
                <w:vertAlign w:val="superscript"/>
              </w:rPr>
              <w:t>n.s.</w:t>
            </w:r>
          </w:p>
        </w:tc>
      </w:tr>
      <w:tr w:rsidR="002E4D99" w:rsidRPr="00367BEC" w14:paraId="0E52A440" w14:textId="77777777" w:rsidTr="00CF1C1E">
        <w:trPr>
          <w:trHeight w:val="240"/>
        </w:trPr>
        <w:tc>
          <w:tcPr>
            <w:tcW w:w="659" w:type="pct"/>
            <w:tcBorders>
              <w:top w:val="nil"/>
              <w:left w:val="nil"/>
              <w:bottom w:val="single" w:sz="8" w:space="0" w:color="auto"/>
              <w:right w:val="nil"/>
            </w:tcBorders>
            <w:shd w:val="clear" w:color="000000" w:fill="FFFFFF"/>
            <w:noWrap/>
            <w:hideMark/>
          </w:tcPr>
          <w:p w14:paraId="4EDA7C1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single" w:sz="8" w:space="0" w:color="auto"/>
              <w:right w:val="nil"/>
            </w:tcBorders>
            <w:shd w:val="clear" w:color="000000" w:fill="FFFFFF"/>
            <w:noWrap/>
            <w:hideMark/>
          </w:tcPr>
          <w:p w14:paraId="2ED6D4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single" w:sz="8" w:space="0" w:color="auto"/>
              <w:right w:val="nil"/>
            </w:tcBorders>
            <w:shd w:val="clear" w:color="000000" w:fill="FFFFFF"/>
            <w:noWrap/>
            <w:vAlign w:val="center"/>
            <w:hideMark/>
          </w:tcPr>
          <w:p w14:paraId="02B60A4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I-MPSS III (%)</w:t>
            </w:r>
          </w:p>
        </w:tc>
        <w:tc>
          <w:tcPr>
            <w:tcW w:w="218" w:type="pct"/>
            <w:tcBorders>
              <w:top w:val="nil"/>
              <w:left w:val="nil"/>
              <w:bottom w:val="single" w:sz="8" w:space="0" w:color="auto"/>
              <w:right w:val="nil"/>
            </w:tcBorders>
            <w:shd w:val="clear" w:color="000000" w:fill="FFFFFF"/>
            <w:noWrap/>
            <w:vAlign w:val="center"/>
            <w:hideMark/>
          </w:tcPr>
          <w:p w14:paraId="1CB56F9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40,0</w:t>
            </w:r>
          </w:p>
        </w:tc>
        <w:tc>
          <w:tcPr>
            <w:tcW w:w="455" w:type="pct"/>
            <w:gridSpan w:val="2"/>
            <w:tcBorders>
              <w:top w:val="nil"/>
              <w:left w:val="nil"/>
              <w:bottom w:val="single" w:sz="8" w:space="0" w:color="auto"/>
              <w:right w:val="nil"/>
            </w:tcBorders>
            <w:shd w:val="clear" w:color="000000" w:fill="FFFFFF"/>
            <w:noWrap/>
            <w:vAlign w:val="center"/>
            <w:hideMark/>
          </w:tcPr>
          <w:p w14:paraId="7786718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(12/30)</w:t>
            </w:r>
          </w:p>
        </w:tc>
        <w:tc>
          <w:tcPr>
            <w:tcW w:w="231" w:type="pct"/>
            <w:tcBorders>
              <w:top w:val="nil"/>
              <w:left w:val="nil"/>
              <w:bottom w:val="single" w:sz="8" w:space="0" w:color="auto"/>
              <w:right w:val="nil"/>
            </w:tcBorders>
            <w:shd w:val="clear" w:color="000000" w:fill="FFFFFF"/>
            <w:noWrap/>
            <w:vAlign w:val="center"/>
            <w:hideMark/>
          </w:tcPr>
          <w:p w14:paraId="7BBE6D6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20,0</w:t>
            </w:r>
          </w:p>
        </w:tc>
        <w:tc>
          <w:tcPr>
            <w:tcW w:w="602" w:type="pct"/>
            <w:gridSpan w:val="2"/>
            <w:tcBorders>
              <w:top w:val="nil"/>
              <w:left w:val="nil"/>
              <w:bottom w:val="single" w:sz="8" w:space="0" w:color="auto"/>
              <w:right w:val="nil"/>
            </w:tcBorders>
            <w:shd w:val="clear" w:color="000000" w:fill="FFFFFF"/>
            <w:noWrap/>
            <w:vAlign w:val="center"/>
            <w:hideMark/>
          </w:tcPr>
          <w:p w14:paraId="53782A7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(6/30)</w:t>
            </w:r>
          </w:p>
        </w:tc>
        <w:tc>
          <w:tcPr>
            <w:tcW w:w="453" w:type="pct"/>
            <w:tcBorders>
              <w:top w:val="nil"/>
              <w:left w:val="nil"/>
              <w:bottom w:val="single" w:sz="8" w:space="0" w:color="auto"/>
              <w:right w:val="nil"/>
            </w:tcBorders>
            <w:shd w:val="clear" w:color="000000" w:fill="FFFFFF"/>
            <w:noWrap/>
            <w:vAlign w:val="center"/>
            <w:hideMark/>
          </w:tcPr>
          <w:p w14:paraId="4402D30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−20,0</w:t>
            </w:r>
          </w:p>
        </w:tc>
        <w:tc>
          <w:tcPr>
            <w:tcW w:w="582" w:type="pct"/>
            <w:tcBorders>
              <w:top w:val="nil"/>
              <w:left w:val="nil"/>
              <w:bottom w:val="single" w:sz="8" w:space="0" w:color="auto"/>
              <w:right w:val="nil"/>
            </w:tcBorders>
            <w:shd w:val="clear" w:color="000000" w:fill="FFFFFF"/>
            <w:noWrap/>
            <w:vAlign w:val="center"/>
            <w:hideMark/>
          </w:tcPr>
          <w:p w14:paraId="3B678B2A"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−50,0</w:t>
            </w:r>
            <w:r w:rsidRPr="00367BEC">
              <w:rPr>
                <w:rFonts w:ascii="Times New Roman" w:hAnsi="Times New Roman"/>
                <w:b/>
                <w:color w:val="000000"/>
                <w:sz w:val="20"/>
                <w:vertAlign w:val="superscript"/>
              </w:rPr>
              <w:t>n.s.</w:t>
            </w:r>
          </w:p>
        </w:tc>
      </w:tr>
      <w:tr w:rsidR="002E4D99" w:rsidRPr="00367BEC" w14:paraId="4A8B061A" w14:textId="77777777" w:rsidTr="00CF1C1E">
        <w:trPr>
          <w:trHeight w:val="225"/>
        </w:trPr>
        <w:tc>
          <w:tcPr>
            <w:tcW w:w="659" w:type="pct"/>
            <w:tcBorders>
              <w:top w:val="nil"/>
              <w:left w:val="nil"/>
              <w:bottom w:val="nil"/>
              <w:right w:val="nil"/>
            </w:tcBorders>
            <w:shd w:val="clear" w:color="000000" w:fill="FFFFFF"/>
            <w:noWrap/>
            <w:vAlign w:val="center"/>
            <w:hideMark/>
          </w:tcPr>
          <w:p w14:paraId="1373E48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Brunetti 2016</w:t>
            </w:r>
          </w:p>
        </w:tc>
        <w:tc>
          <w:tcPr>
            <w:tcW w:w="617" w:type="pct"/>
            <w:tcBorders>
              <w:top w:val="nil"/>
              <w:left w:val="nil"/>
              <w:bottom w:val="nil"/>
              <w:right w:val="nil"/>
            </w:tcBorders>
            <w:shd w:val="clear" w:color="000000" w:fill="FFFFFF"/>
            <w:noWrap/>
            <w:vAlign w:val="center"/>
            <w:hideMark/>
          </w:tcPr>
          <w:p w14:paraId="6011AD4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183" w:type="pct"/>
            <w:tcBorders>
              <w:top w:val="nil"/>
              <w:left w:val="nil"/>
              <w:bottom w:val="nil"/>
              <w:right w:val="nil"/>
            </w:tcBorders>
            <w:shd w:val="clear" w:color="000000" w:fill="FFFFFF"/>
            <w:noWrap/>
            <w:vAlign w:val="center"/>
            <w:hideMark/>
          </w:tcPr>
          <w:p w14:paraId="2131987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Alteración considerable del sueño (%)</w:t>
            </w:r>
          </w:p>
        </w:tc>
        <w:tc>
          <w:tcPr>
            <w:tcW w:w="218" w:type="pct"/>
            <w:tcBorders>
              <w:top w:val="nil"/>
              <w:left w:val="nil"/>
              <w:bottom w:val="nil"/>
              <w:right w:val="nil"/>
            </w:tcBorders>
            <w:shd w:val="clear" w:color="000000" w:fill="FFFFFF"/>
            <w:noWrap/>
            <w:vAlign w:val="center"/>
            <w:hideMark/>
          </w:tcPr>
          <w:p w14:paraId="06B404DA"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77,8</w:t>
            </w:r>
          </w:p>
        </w:tc>
        <w:tc>
          <w:tcPr>
            <w:tcW w:w="455" w:type="pct"/>
            <w:gridSpan w:val="2"/>
            <w:tcBorders>
              <w:top w:val="nil"/>
              <w:left w:val="nil"/>
              <w:bottom w:val="nil"/>
              <w:right w:val="nil"/>
            </w:tcBorders>
            <w:shd w:val="clear" w:color="000000" w:fill="FFFFFF"/>
            <w:noWrap/>
            <w:vAlign w:val="center"/>
            <w:hideMark/>
          </w:tcPr>
          <w:p w14:paraId="432AC1F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(28/36)</w:t>
            </w:r>
          </w:p>
        </w:tc>
        <w:tc>
          <w:tcPr>
            <w:tcW w:w="231" w:type="pct"/>
            <w:tcBorders>
              <w:top w:val="nil"/>
              <w:left w:val="nil"/>
              <w:bottom w:val="nil"/>
              <w:right w:val="nil"/>
            </w:tcBorders>
            <w:shd w:val="clear" w:color="000000" w:fill="FFFFFF"/>
            <w:noWrap/>
            <w:vAlign w:val="center"/>
            <w:hideMark/>
          </w:tcPr>
          <w:p w14:paraId="5A5FDEF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59,0</w:t>
            </w:r>
          </w:p>
        </w:tc>
        <w:tc>
          <w:tcPr>
            <w:tcW w:w="602" w:type="pct"/>
            <w:gridSpan w:val="2"/>
            <w:tcBorders>
              <w:top w:val="nil"/>
              <w:left w:val="nil"/>
              <w:bottom w:val="nil"/>
              <w:right w:val="nil"/>
            </w:tcBorders>
            <w:shd w:val="clear" w:color="000000" w:fill="FFFFFF"/>
            <w:noWrap/>
            <w:vAlign w:val="center"/>
            <w:hideMark/>
          </w:tcPr>
          <w:p w14:paraId="2AFAB44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21</w:t>
            </w:r>
            <w:r w:rsidRPr="00367BEC">
              <w:rPr>
                <w:rFonts w:ascii="Times New Roman" w:hAnsi="Times New Roman"/>
                <w:color w:val="000000"/>
                <w:sz w:val="20"/>
              </w:rPr>
              <w:t>/36)</w:t>
            </w:r>
          </w:p>
        </w:tc>
        <w:tc>
          <w:tcPr>
            <w:tcW w:w="453" w:type="pct"/>
            <w:tcBorders>
              <w:top w:val="nil"/>
              <w:left w:val="nil"/>
              <w:bottom w:val="nil"/>
              <w:right w:val="nil"/>
            </w:tcBorders>
            <w:shd w:val="clear" w:color="000000" w:fill="FFFFFF"/>
            <w:noWrap/>
            <w:vAlign w:val="center"/>
            <w:hideMark/>
          </w:tcPr>
          <w:p w14:paraId="6EE3DBB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−18,8</w:t>
            </w:r>
          </w:p>
        </w:tc>
        <w:tc>
          <w:tcPr>
            <w:tcW w:w="582" w:type="pct"/>
            <w:tcBorders>
              <w:top w:val="nil"/>
              <w:left w:val="nil"/>
              <w:bottom w:val="nil"/>
              <w:right w:val="nil"/>
            </w:tcBorders>
            <w:shd w:val="clear" w:color="000000" w:fill="FFFFFF"/>
            <w:noWrap/>
            <w:vAlign w:val="center"/>
            <w:hideMark/>
          </w:tcPr>
          <w:p w14:paraId="3671E5D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−24,1</w:t>
            </w:r>
          </w:p>
        </w:tc>
      </w:tr>
      <w:tr w:rsidR="002E4D99" w:rsidRPr="00367BEC" w14:paraId="0A6B7550" w14:textId="77777777" w:rsidTr="00CF1C1E">
        <w:trPr>
          <w:trHeight w:val="225"/>
        </w:trPr>
        <w:tc>
          <w:tcPr>
            <w:tcW w:w="659" w:type="pct"/>
            <w:tcBorders>
              <w:top w:val="nil"/>
              <w:left w:val="nil"/>
              <w:bottom w:val="nil"/>
              <w:right w:val="nil"/>
            </w:tcBorders>
            <w:shd w:val="clear" w:color="000000" w:fill="FFFFFF"/>
            <w:noWrap/>
            <w:hideMark/>
          </w:tcPr>
          <w:p w14:paraId="5275F89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12CEE7A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269A35A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Sueño con despertares frecuentes (%)</w:t>
            </w:r>
          </w:p>
        </w:tc>
        <w:tc>
          <w:tcPr>
            <w:tcW w:w="218" w:type="pct"/>
            <w:tcBorders>
              <w:top w:val="nil"/>
              <w:left w:val="nil"/>
              <w:bottom w:val="nil"/>
              <w:right w:val="nil"/>
            </w:tcBorders>
            <w:shd w:val="clear" w:color="000000" w:fill="FFFFFF"/>
            <w:noWrap/>
            <w:vAlign w:val="center"/>
            <w:hideMark/>
          </w:tcPr>
          <w:p w14:paraId="050A34A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2,8</w:t>
            </w:r>
          </w:p>
        </w:tc>
        <w:tc>
          <w:tcPr>
            <w:tcW w:w="455" w:type="pct"/>
            <w:gridSpan w:val="2"/>
            <w:tcBorders>
              <w:top w:val="nil"/>
              <w:left w:val="nil"/>
              <w:bottom w:val="nil"/>
              <w:right w:val="nil"/>
            </w:tcBorders>
            <w:shd w:val="clear" w:color="000000" w:fill="FFFFFF"/>
            <w:noWrap/>
            <w:vAlign w:val="center"/>
            <w:hideMark/>
          </w:tcPr>
          <w:p w14:paraId="73926F0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(1/36)</w:t>
            </w:r>
          </w:p>
        </w:tc>
        <w:tc>
          <w:tcPr>
            <w:tcW w:w="231" w:type="pct"/>
            <w:tcBorders>
              <w:top w:val="nil"/>
              <w:left w:val="nil"/>
              <w:bottom w:val="nil"/>
              <w:right w:val="nil"/>
            </w:tcBorders>
            <w:shd w:val="clear" w:color="000000" w:fill="FFFFFF"/>
            <w:noWrap/>
            <w:hideMark/>
          </w:tcPr>
          <w:p w14:paraId="53B9B47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02" w:type="pct"/>
            <w:gridSpan w:val="2"/>
            <w:tcBorders>
              <w:top w:val="nil"/>
              <w:left w:val="nil"/>
              <w:bottom w:val="nil"/>
              <w:right w:val="nil"/>
            </w:tcBorders>
            <w:shd w:val="clear" w:color="000000" w:fill="FFFFFF"/>
            <w:noWrap/>
            <w:hideMark/>
          </w:tcPr>
          <w:p w14:paraId="164CDBC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3" w:type="pct"/>
            <w:tcBorders>
              <w:top w:val="nil"/>
              <w:left w:val="nil"/>
              <w:bottom w:val="nil"/>
              <w:right w:val="nil"/>
            </w:tcBorders>
            <w:shd w:val="clear" w:color="000000" w:fill="FFFFFF"/>
            <w:noWrap/>
            <w:hideMark/>
          </w:tcPr>
          <w:p w14:paraId="1D980AA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nil"/>
              <w:right w:val="nil"/>
            </w:tcBorders>
            <w:shd w:val="clear" w:color="000000" w:fill="FFFFFF"/>
            <w:noWrap/>
            <w:hideMark/>
          </w:tcPr>
          <w:p w14:paraId="6CDD8CB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76EBC264" w14:textId="77777777" w:rsidTr="00CF1C1E">
        <w:trPr>
          <w:trHeight w:val="225"/>
        </w:trPr>
        <w:tc>
          <w:tcPr>
            <w:tcW w:w="659" w:type="pct"/>
            <w:tcBorders>
              <w:top w:val="nil"/>
              <w:left w:val="nil"/>
              <w:bottom w:val="nil"/>
              <w:right w:val="nil"/>
            </w:tcBorders>
            <w:shd w:val="clear" w:color="000000" w:fill="FFFFFF"/>
            <w:noWrap/>
            <w:hideMark/>
          </w:tcPr>
          <w:p w14:paraId="5780403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6E2CB37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43ED66C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Buen sueño (%)</w:t>
            </w:r>
          </w:p>
        </w:tc>
        <w:tc>
          <w:tcPr>
            <w:tcW w:w="218" w:type="pct"/>
            <w:tcBorders>
              <w:top w:val="nil"/>
              <w:left w:val="nil"/>
              <w:bottom w:val="nil"/>
              <w:right w:val="nil"/>
            </w:tcBorders>
            <w:shd w:val="clear" w:color="000000" w:fill="FFFFFF"/>
            <w:noWrap/>
            <w:vAlign w:val="center"/>
            <w:hideMark/>
          </w:tcPr>
          <w:p w14:paraId="058D6B1E"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11,1</w:t>
            </w:r>
          </w:p>
        </w:tc>
        <w:tc>
          <w:tcPr>
            <w:tcW w:w="455" w:type="pct"/>
            <w:gridSpan w:val="2"/>
            <w:tcBorders>
              <w:top w:val="nil"/>
              <w:left w:val="nil"/>
              <w:bottom w:val="nil"/>
              <w:right w:val="nil"/>
            </w:tcBorders>
            <w:shd w:val="clear" w:color="000000" w:fill="FFFFFF"/>
            <w:noWrap/>
            <w:vAlign w:val="center"/>
            <w:hideMark/>
          </w:tcPr>
          <w:p w14:paraId="1D530A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(4/36)</w:t>
            </w:r>
          </w:p>
        </w:tc>
        <w:tc>
          <w:tcPr>
            <w:tcW w:w="231" w:type="pct"/>
            <w:tcBorders>
              <w:top w:val="nil"/>
              <w:left w:val="nil"/>
              <w:bottom w:val="nil"/>
              <w:right w:val="nil"/>
            </w:tcBorders>
            <w:shd w:val="clear" w:color="000000" w:fill="FFFFFF"/>
            <w:noWrap/>
            <w:hideMark/>
          </w:tcPr>
          <w:p w14:paraId="15C8CD5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02" w:type="pct"/>
            <w:gridSpan w:val="2"/>
            <w:tcBorders>
              <w:top w:val="nil"/>
              <w:left w:val="nil"/>
              <w:bottom w:val="nil"/>
              <w:right w:val="nil"/>
            </w:tcBorders>
            <w:shd w:val="clear" w:color="000000" w:fill="FFFFFF"/>
            <w:noWrap/>
            <w:hideMark/>
          </w:tcPr>
          <w:p w14:paraId="53796D3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3" w:type="pct"/>
            <w:tcBorders>
              <w:top w:val="nil"/>
              <w:left w:val="nil"/>
              <w:bottom w:val="nil"/>
              <w:right w:val="nil"/>
            </w:tcBorders>
            <w:shd w:val="clear" w:color="000000" w:fill="FFFFFF"/>
            <w:noWrap/>
            <w:hideMark/>
          </w:tcPr>
          <w:p w14:paraId="745F100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nil"/>
              <w:right w:val="nil"/>
            </w:tcBorders>
            <w:shd w:val="clear" w:color="000000" w:fill="FFFFFF"/>
            <w:noWrap/>
            <w:hideMark/>
          </w:tcPr>
          <w:p w14:paraId="7DF68F7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6B744BFE" w14:textId="77777777" w:rsidTr="00CF1C1E">
        <w:trPr>
          <w:trHeight w:val="240"/>
        </w:trPr>
        <w:tc>
          <w:tcPr>
            <w:tcW w:w="659" w:type="pct"/>
            <w:tcBorders>
              <w:top w:val="nil"/>
              <w:left w:val="nil"/>
              <w:bottom w:val="single" w:sz="8" w:space="0" w:color="auto"/>
              <w:right w:val="nil"/>
            </w:tcBorders>
            <w:shd w:val="clear" w:color="000000" w:fill="FFFFFF"/>
            <w:noWrap/>
            <w:hideMark/>
          </w:tcPr>
          <w:p w14:paraId="4D8D6CA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single" w:sz="8" w:space="0" w:color="auto"/>
              <w:right w:val="nil"/>
            </w:tcBorders>
            <w:shd w:val="clear" w:color="000000" w:fill="FFFFFF"/>
            <w:noWrap/>
            <w:hideMark/>
          </w:tcPr>
          <w:p w14:paraId="458DA23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single" w:sz="8" w:space="0" w:color="auto"/>
              <w:right w:val="nil"/>
            </w:tcBorders>
            <w:shd w:val="clear" w:color="000000" w:fill="FFFFFF"/>
            <w:noWrap/>
            <w:vAlign w:val="center"/>
            <w:hideMark/>
          </w:tcPr>
          <w:p w14:paraId="65954BF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Sueño reparador (%)</w:t>
            </w:r>
          </w:p>
        </w:tc>
        <w:tc>
          <w:tcPr>
            <w:tcW w:w="218" w:type="pct"/>
            <w:tcBorders>
              <w:top w:val="nil"/>
              <w:left w:val="nil"/>
              <w:bottom w:val="single" w:sz="8" w:space="0" w:color="auto"/>
              <w:right w:val="nil"/>
            </w:tcBorders>
            <w:shd w:val="clear" w:color="000000" w:fill="FFFFFF"/>
            <w:noWrap/>
            <w:vAlign w:val="center"/>
            <w:hideMark/>
          </w:tcPr>
          <w:p w14:paraId="2B8FDB62"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8,3</w:t>
            </w:r>
          </w:p>
        </w:tc>
        <w:tc>
          <w:tcPr>
            <w:tcW w:w="455" w:type="pct"/>
            <w:gridSpan w:val="2"/>
            <w:tcBorders>
              <w:top w:val="nil"/>
              <w:left w:val="nil"/>
              <w:bottom w:val="single" w:sz="8" w:space="0" w:color="auto"/>
              <w:right w:val="nil"/>
            </w:tcBorders>
            <w:shd w:val="clear" w:color="000000" w:fill="FFFFFF"/>
            <w:noWrap/>
            <w:vAlign w:val="center"/>
            <w:hideMark/>
          </w:tcPr>
          <w:p w14:paraId="48E00F3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(3/36)</w:t>
            </w:r>
          </w:p>
        </w:tc>
        <w:tc>
          <w:tcPr>
            <w:tcW w:w="231" w:type="pct"/>
            <w:tcBorders>
              <w:top w:val="nil"/>
              <w:left w:val="nil"/>
              <w:bottom w:val="single" w:sz="8" w:space="0" w:color="auto"/>
              <w:right w:val="nil"/>
            </w:tcBorders>
            <w:shd w:val="clear" w:color="000000" w:fill="FFFFFF"/>
            <w:noWrap/>
            <w:hideMark/>
          </w:tcPr>
          <w:p w14:paraId="56B4E8A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02" w:type="pct"/>
            <w:gridSpan w:val="2"/>
            <w:tcBorders>
              <w:top w:val="nil"/>
              <w:left w:val="nil"/>
              <w:bottom w:val="single" w:sz="8" w:space="0" w:color="auto"/>
              <w:right w:val="nil"/>
            </w:tcBorders>
            <w:shd w:val="clear" w:color="000000" w:fill="FFFFFF"/>
            <w:noWrap/>
            <w:hideMark/>
          </w:tcPr>
          <w:p w14:paraId="754D4A0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453" w:type="pct"/>
            <w:tcBorders>
              <w:top w:val="nil"/>
              <w:left w:val="nil"/>
              <w:bottom w:val="single" w:sz="8" w:space="0" w:color="auto"/>
              <w:right w:val="nil"/>
            </w:tcBorders>
            <w:shd w:val="clear" w:color="000000" w:fill="FFFFFF"/>
            <w:noWrap/>
            <w:hideMark/>
          </w:tcPr>
          <w:p w14:paraId="311E74D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582" w:type="pct"/>
            <w:tcBorders>
              <w:top w:val="nil"/>
              <w:left w:val="nil"/>
              <w:bottom w:val="single" w:sz="8" w:space="0" w:color="auto"/>
              <w:right w:val="nil"/>
            </w:tcBorders>
            <w:shd w:val="clear" w:color="000000" w:fill="FFFFFF"/>
            <w:noWrap/>
            <w:hideMark/>
          </w:tcPr>
          <w:p w14:paraId="78763FA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3BD3A29" w14:textId="77777777" w:rsidTr="00CF1C1E">
        <w:trPr>
          <w:trHeight w:val="225"/>
        </w:trPr>
        <w:tc>
          <w:tcPr>
            <w:tcW w:w="659" w:type="pct"/>
            <w:tcBorders>
              <w:top w:val="nil"/>
              <w:left w:val="nil"/>
              <w:bottom w:val="nil"/>
              <w:right w:val="nil"/>
            </w:tcBorders>
            <w:shd w:val="clear" w:color="000000" w:fill="FFFFFF"/>
            <w:noWrap/>
            <w:vAlign w:val="center"/>
            <w:hideMark/>
          </w:tcPr>
          <w:p w14:paraId="6794522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Schikowski</w:t>
            </w:r>
            <w:proofErr w:type="spellEnd"/>
            <w:r w:rsidRPr="00367BEC">
              <w:rPr>
                <w:rFonts w:ascii="Times New Roman" w:hAnsi="Times New Roman"/>
                <w:color w:val="000000"/>
                <w:sz w:val="20"/>
              </w:rPr>
              <w:t xml:space="preserve"> 2015</w:t>
            </w:r>
          </w:p>
        </w:tc>
        <w:tc>
          <w:tcPr>
            <w:tcW w:w="617" w:type="pct"/>
            <w:tcBorders>
              <w:top w:val="nil"/>
              <w:left w:val="nil"/>
              <w:bottom w:val="nil"/>
              <w:right w:val="nil"/>
            </w:tcBorders>
            <w:shd w:val="clear" w:color="000000" w:fill="FFFFFF"/>
            <w:noWrap/>
            <w:vAlign w:val="center"/>
            <w:hideMark/>
          </w:tcPr>
          <w:p w14:paraId="4021486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1183" w:type="pct"/>
            <w:tcBorders>
              <w:top w:val="nil"/>
              <w:left w:val="nil"/>
              <w:bottom w:val="nil"/>
              <w:right w:val="nil"/>
            </w:tcBorders>
            <w:shd w:val="clear" w:color="000000" w:fill="FFFFFF"/>
            <w:noWrap/>
            <w:vAlign w:val="center"/>
            <w:hideMark/>
          </w:tcPr>
          <w:p w14:paraId="57E3C99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HADS ansiedad 11-21 (%)</w:t>
            </w:r>
          </w:p>
        </w:tc>
        <w:tc>
          <w:tcPr>
            <w:tcW w:w="218" w:type="pct"/>
            <w:tcBorders>
              <w:top w:val="nil"/>
              <w:left w:val="nil"/>
              <w:bottom w:val="nil"/>
              <w:right w:val="nil"/>
            </w:tcBorders>
            <w:shd w:val="clear" w:color="000000" w:fill="FFFFFF"/>
            <w:noWrap/>
            <w:vAlign w:val="center"/>
            <w:hideMark/>
          </w:tcPr>
          <w:p w14:paraId="58B9CA2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48,1</w:t>
            </w:r>
          </w:p>
        </w:tc>
        <w:tc>
          <w:tcPr>
            <w:tcW w:w="455" w:type="pct"/>
            <w:gridSpan w:val="2"/>
            <w:tcBorders>
              <w:top w:val="nil"/>
              <w:left w:val="nil"/>
              <w:bottom w:val="nil"/>
              <w:right w:val="nil"/>
            </w:tcBorders>
            <w:shd w:val="clear" w:color="000000" w:fill="FFFFFF"/>
            <w:noWrap/>
            <w:vAlign w:val="center"/>
            <w:hideMark/>
          </w:tcPr>
          <w:p w14:paraId="6A8DE0C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59</w:t>
            </w:r>
            <w:r w:rsidRPr="00367BEC">
              <w:rPr>
                <w:rFonts w:ascii="Times New Roman" w:hAnsi="Times New Roman"/>
                <w:color w:val="000000"/>
                <w:sz w:val="20"/>
              </w:rPr>
              <w:t>/123)</w:t>
            </w:r>
          </w:p>
        </w:tc>
        <w:tc>
          <w:tcPr>
            <w:tcW w:w="231" w:type="pct"/>
            <w:tcBorders>
              <w:top w:val="nil"/>
              <w:left w:val="nil"/>
              <w:bottom w:val="nil"/>
              <w:right w:val="nil"/>
            </w:tcBorders>
            <w:shd w:val="clear" w:color="000000" w:fill="FFFFFF"/>
            <w:noWrap/>
            <w:vAlign w:val="center"/>
            <w:hideMark/>
          </w:tcPr>
          <w:p w14:paraId="5FF560F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31,2</w:t>
            </w:r>
          </w:p>
        </w:tc>
        <w:tc>
          <w:tcPr>
            <w:tcW w:w="602" w:type="pct"/>
            <w:gridSpan w:val="2"/>
            <w:tcBorders>
              <w:top w:val="nil"/>
              <w:left w:val="nil"/>
              <w:bottom w:val="nil"/>
              <w:right w:val="nil"/>
            </w:tcBorders>
            <w:shd w:val="clear" w:color="000000" w:fill="FFFFFF"/>
            <w:noWrap/>
            <w:vAlign w:val="center"/>
            <w:hideMark/>
          </w:tcPr>
          <w:p w14:paraId="639533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38</w:t>
            </w:r>
            <w:r w:rsidRPr="00367BEC">
              <w:rPr>
                <w:rFonts w:ascii="Times New Roman" w:hAnsi="Times New Roman"/>
                <w:color w:val="000000"/>
                <w:sz w:val="20"/>
              </w:rPr>
              <w:t>/123)</w:t>
            </w:r>
          </w:p>
        </w:tc>
        <w:tc>
          <w:tcPr>
            <w:tcW w:w="453" w:type="pct"/>
            <w:tcBorders>
              <w:top w:val="nil"/>
              <w:left w:val="nil"/>
              <w:bottom w:val="nil"/>
              <w:right w:val="nil"/>
            </w:tcBorders>
            <w:shd w:val="clear" w:color="000000" w:fill="FFFFFF"/>
            <w:noWrap/>
            <w:vAlign w:val="center"/>
            <w:hideMark/>
          </w:tcPr>
          <w:p w14:paraId="6DEA69C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−16,9</w:t>
            </w:r>
          </w:p>
        </w:tc>
        <w:tc>
          <w:tcPr>
            <w:tcW w:w="582" w:type="pct"/>
            <w:tcBorders>
              <w:top w:val="nil"/>
              <w:left w:val="nil"/>
              <w:bottom w:val="nil"/>
              <w:right w:val="nil"/>
            </w:tcBorders>
            <w:shd w:val="clear" w:color="000000" w:fill="FFFFFF"/>
            <w:noWrap/>
            <w:vAlign w:val="center"/>
            <w:hideMark/>
          </w:tcPr>
          <w:p w14:paraId="54E9ADCB"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−35,1</w:t>
            </w:r>
          </w:p>
        </w:tc>
      </w:tr>
      <w:tr w:rsidR="002E4D99" w:rsidRPr="00367BEC" w14:paraId="461D2A9F" w14:textId="77777777" w:rsidTr="00CF1C1E">
        <w:trPr>
          <w:trHeight w:val="225"/>
        </w:trPr>
        <w:tc>
          <w:tcPr>
            <w:tcW w:w="659" w:type="pct"/>
            <w:tcBorders>
              <w:top w:val="nil"/>
              <w:left w:val="nil"/>
              <w:bottom w:val="nil"/>
              <w:right w:val="nil"/>
            </w:tcBorders>
            <w:shd w:val="clear" w:color="000000" w:fill="FFFFFF"/>
            <w:noWrap/>
            <w:hideMark/>
          </w:tcPr>
          <w:p w14:paraId="2D6D029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4A08866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44194F2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HADS depresión 11-21 (%)</w:t>
            </w:r>
          </w:p>
        </w:tc>
        <w:tc>
          <w:tcPr>
            <w:tcW w:w="218" w:type="pct"/>
            <w:tcBorders>
              <w:top w:val="nil"/>
              <w:left w:val="nil"/>
              <w:bottom w:val="nil"/>
              <w:right w:val="nil"/>
            </w:tcBorders>
            <w:shd w:val="clear" w:color="000000" w:fill="FFFFFF"/>
            <w:noWrap/>
            <w:vAlign w:val="center"/>
            <w:hideMark/>
          </w:tcPr>
          <w:p w14:paraId="19FE38F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66,2</w:t>
            </w:r>
          </w:p>
        </w:tc>
        <w:tc>
          <w:tcPr>
            <w:tcW w:w="455" w:type="pct"/>
            <w:gridSpan w:val="2"/>
            <w:tcBorders>
              <w:top w:val="nil"/>
              <w:left w:val="nil"/>
              <w:bottom w:val="nil"/>
              <w:right w:val="nil"/>
            </w:tcBorders>
            <w:shd w:val="clear" w:color="000000" w:fill="FFFFFF"/>
            <w:noWrap/>
            <w:vAlign w:val="center"/>
            <w:hideMark/>
          </w:tcPr>
          <w:p w14:paraId="48DB9B7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81</w:t>
            </w:r>
            <w:r w:rsidRPr="00367BEC">
              <w:rPr>
                <w:rFonts w:ascii="Times New Roman" w:hAnsi="Times New Roman"/>
                <w:color w:val="000000"/>
                <w:sz w:val="20"/>
              </w:rPr>
              <w:t>/123)</w:t>
            </w:r>
          </w:p>
        </w:tc>
        <w:tc>
          <w:tcPr>
            <w:tcW w:w="231" w:type="pct"/>
            <w:tcBorders>
              <w:top w:val="nil"/>
              <w:left w:val="nil"/>
              <w:bottom w:val="nil"/>
              <w:right w:val="nil"/>
            </w:tcBorders>
            <w:shd w:val="clear" w:color="000000" w:fill="FFFFFF"/>
            <w:noWrap/>
            <w:vAlign w:val="center"/>
            <w:hideMark/>
          </w:tcPr>
          <w:p w14:paraId="2BE71DB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37,7</w:t>
            </w:r>
          </w:p>
        </w:tc>
        <w:tc>
          <w:tcPr>
            <w:tcW w:w="602" w:type="pct"/>
            <w:gridSpan w:val="2"/>
            <w:tcBorders>
              <w:top w:val="nil"/>
              <w:left w:val="nil"/>
              <w:bottom w:val="nil"/>
              <w:right w:val="nil"/>
            </w:tcBorders>
            <w:shd w:val="clear" w:color="000000" w:fill="FFFFFF"/>
            <w:noWrap/>
            <w:vAlign w:val="center"/>
            <w:hideMark/>
          </w:tcPr>
          <w:p w14:paraId="5C6C8D6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46</w:t>
            </w:r>
            <w:r w:rsidRPr="00367BEC">
              <w:rPr>
                <w:rFonts w:ascii="Times New Roman" w:hAnsi="Times New Roman"/>
                <w:color w:val="000000"/>
                <w:sz w:val="20"/>
              </w:rPr>
              <w:t>/123)</w:t>
            </w:r>
          </w:p>
        </w:tc>
        <w:tc>
          <w:tcPr>
            <w:tcW w:w="453" w:type="pct"/>
            <w:tcBorders>
              <w:top w:val="nil"/>
              <w:left w:val="nil"/>
              <w:bottom w:val="nil"/>
              <w:right w:val="nil"/>
            </w:tcBorders>
            <w:shd w:val="clear" w:color="000000" w:fill="FFFFFF"/>
            <w:noWrap/>
            <w:vAlign w:val="center"/>
            <w:hideMark/>
          </w:tcPr>
          <w:p w14:paraId="4B79E65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−28,5</w:t>
            </w:r>
          </w:p>
        </w:tc>
        <w:tc>
          <w:tcPr>
            <w:tcW w:w="582" w:type="pct"/>
            <w:tcBorders>
              <w:top w:val="nil"/>
              <w:left w:val="nil"/>
              <w:bottom w:val="nil"/>
              <w:right w:val="nil"/>
            </w:tcBorders>
            <w:shd w:val="clear" w:color="000000" w:fill="FFFFFF"/>
            <w:noWrap/>
            <w:vAlign w:val="center"/>
            <w:hideMark/>
          </w:tcPr>
          <w:p w14:paraId="1E8742DF"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−43,1</w:t>
            </w:r>
          </w:p>
        </w:tc>
      </w:tr>
      <w:tr w:rsidR="002E4D99" w:rsidRPr="00367BEC" w14:paraId="33DF70CC" w14:textId="77777777" w:rsidTr="00CF1C1E">
        <w:trPr>
          <w:trHeight w:val="225"/>
        </w:trPr>
        <w:tc>
          <w:tcPr>
            <w:tcW w:w="659" w:type="pct"/>
            <w:tcBorders>
              <w:top w:val="nil"/>
              <w:left w:val="nil"/>
              <w:bottom w:val="nil"/>
              <w:right w:val="nil"/>
            </w:tcBorders>
            <w:shd w:val="clear" w:color="000000" w:fill="FFFFFF"/>
            <w:noWrap/>
            <w:hideMark/>
          </w:tcPr>
          <w:p w14:paraId="67F8E5C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nil"/>
              <w:right w:val="nil"/>
            </w:tcBorders>
            <w:shd w:val="clear" w:color="000000" w:fill="FFFFFF"/>
            <w:noWrap/>
            <w:hideMark/>
          </w:tcPr>
          <w:p w14:paraId="529429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nil"/>
              <w:right w:val="nil"/>
            </w:tcBorders>
            <w:shd w:val="clear" w:color="000000" w:fill="FFFFFF"/>
            <w:noWrap/>
            <w:vAlign w:val="center"/>
            <w:hideMark/>
          </w:tcPr>
          <w:p w14:paraId="190B2F1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MFHW &lt;2,5 (%)</w:t>
            </w:r>
          </w:p>
        </w:tc>
        <w:tc>
          <w:tcPr>
            <w:tcW w:w="218" w:type="pct"/>
            <w:tcBorders>
              <w:top w:val="nil"/>
              <w:left w:val="nil"/>
              <w:bottom w:val="nil"/>
              <w:right w:val="nil"/>
            </w:tcBorders>
            <w:shd w:val="clear" w:color="000000" w:fill="FFFFFF"/>
            <w:noWrap/>
            <w:vAlign w:val="center"/>
            <w:hideMark/>
          </w:tcPr>
          <w:p w14:paraId="5D1B2F0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76,6</w:t>
            </w:r>
          </w:p>
        </w:tc>
        <w:tc>
          <w:tcPr>
            <w:tcW w:w="455" w:type="pct"/>
            <w:gridSpan w:val="2"/>
            <w:tcBorders>
              <w:top w:val="nil"/>
              <w:left w:val="nil"/>
              <w:bottom w:val="nil"/>
              <w:right w:val="nil"/>
            </w:tcBorders>
            <w:shd w:val="clear" w:color="000000" w:fill="FFFFFF"/>
            <w:noWrap/>
            <w:vAlign w:val="center"/>
            <w:hideMark/>
          </w:tcPr>
          <w:p w14:paraId="76E8AC1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94</w:t>
            </w:r>
            <w:r w:rsidRPr="00367BEC">
              <w:rPr>
                <w:rFonts w:ascii="Times New Roman" w:hAnsi="Times New Roman"/>
                <w:color w:val="000000"/>
                <w:sz w:val="20"/>
              </w:rPr>
              <w:t>/123)</w:t>
            </w:r>
          </w:p>
        </w:tc>
        <w:tc>
          <w:tcPr>
            <w:tcW w:w="231" w:type="pct"/>
            <w:tcBorders>
              <w:top w:val="nil"/>
              <w:left w:val="nil"/>
              <w:bottom w:val="nil"/>
              <w:right w:val="nil"/>
            </w:tcBorders>
            <w:shd w:val="clear" w:color="000000" w:fill="FFFFFF"/>
            <w:noWrap/>
            <w:vAlign w:val="center"/>
            <w:hideMark/>
          </w:tcPr>
          <w:p w14:paraId="571EA1D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63,6</w:t>
            </w:r>
          </w:p>
        </w:tc>
        <w:tc>
          <w:tcPr>
            <w:tcW w:w="602" w:type="pct"/>
            <w:gridSpan w:val="2"/>
            <w:tcBorders>
              <w:top w:val="nil"/>
              <w:left w:val="nil"/>
              <w:bottom w:val="nil"/>
              <w:right w:val="nil"/>
            </w:tcBorders>
            <w:shd w:val="clear" w:color="000000" w:fill="FFFFFF"/>
            <w:noWrap/>
            <w:vAlign w:val="center"/>
            <w:hideMark/>
          </w:tcPr>
          <w:p w14:paraId="4D333A2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78</w:t>
            </w:r>
            <w:r w:rsidRPr="00367BEC">
              <w:rPr>
                <w:rFonts w:ascii="Times New Roman" w:hAnsi="Times New Roman"/>
                <w:color w:val="000000"/>
                <w:sz w:val="20"/>
              </w:rPr>
              <w:t>/123)</w:t>
            </w:r>
          </w:p>
        </w:tc>
        <w:tc>
          <w:tcPr>
            <w:tcW w:w="453" w:type="pct"/>
            <w:tcBorders>
              <w:top w:val="nil"/>
              <w:left w:val="nil"/>
              <w:bottom w:val="nil"/>
              <w:right w:val="nil"/>
            </w:tcBorders>
            <w:shd w:val="clear" w:color="000000" w:fill="FFFFFF"/>
            <w:noWrap/>
            <w:vAlign w:val="center"/>
            <w:hideMark/>
          </w:tcPr>
          <w:p w14:paraId="4149BDFC"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−13,0</w:t>
            </w:r>
          </w:p>
        </w:tc>
        <w:tc>
          <w:tcPr>
            <w:tcW w:w="582" w:type="pct"/>
            <w:tcBorders>
              <w:top w:val="nil"/>
              <w:left w:val="nil"/>
              <w:bottom w:val="nil"/>
              <w:right w:val="nil"/>
            </w:tcBorders>
            <w:shd w:val="clear" w:color="000000" w:fill="FFFFFF"/>
            <w:noWrap/>
            <w:vAlign w:val="center"/>
            <w:hideMark/>
          </w:tcPr>
          <w:p w14:paraId="450A36A7"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−17,0</w:t>
            </w:r>
          </w:p>
        </w:tc>
      </w:tr>
      <w:tr w:rsidR="002E4D99" w:rsidRPr="00367BEC" w14:paraId="4DDEF41B" w14:textId="77777777" w:rsidTr="00CF1C1E">
        <w:trPr>
          <w:trHeight w:val="225"/>
        </w:trPr>
        <w:tc>
          <w:tcPr>
            <w:tcW w:w="659" w:type="pct"/>
            <w:tcBorders>
              <w:top w:val="nil"/>
              <w:left w:val="nil"/>
              <w:right w:val="nil"/>
            </w:tcBorders>
            <w:shd w:val="clear" w:color="000000" w:fill="FFFFFF"/>
            <w:noWrap/>
            <w:hideMark/>
          </w:tcPr>
          <w:p w14:paraId="1DF70A9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right w:val="nil"/>
            </w:tcBorders>
            <w:shd w:val="clear" w:color="000000" w:fill="FFFFFF"/>
            <w:noWrap/>
            <w:hideMark/>
          </w:tcPr>
          <w:p w14:paraId="295D28F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right w:val="nil"/>
            </w:tcBorders>
            <w:shd w:val="clear" w:color="000000" w:fill="FFFFFF"/>
            <w:noWrap/>
            <w:vAlign w:val="center"/>
            <w:hideMark/>
          </w:tcPr>
          <w:p w14:paraId="75F8EF0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&gt;7 (%)</w:t>
            </w:r>
          </w:p>
        </w:tc>
        <w:tc>
          <w:tcPr>
            <w:tcW w:w="218" w:type="pct"/>
            <w:tcBorders>
              <w:top w:val="nil"/>
              <w:left w:val="nil"/>
              <w:right w:val="nil"/>
            </w:tcBorders>
            <w:shd w:val="clear" w:color="000000" w:fill="FFFFFF"/>
            <w:noWrap/>
            <w:vAlign w:val="center"/>
            <w:hideMark/>
          </w:tcPr>
          <w:p w14:paraId="69F6F04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47,9</w:t>
            </w:r>
          </w:p>
        </w:tc>
        <w:tc>
          <w:tcPr>
            <w:tcW w:w="455" w:type="pct"/>
            <w:gridSpan w:val="2"/>
            <w:tcBorders>
              <w:top w:val="nil"/>
              <w:left w:val="nil"/>
              <w:right w:val="nil"/>
            </w:tcBorders>
            <w:shd w:val="clear" w:color="000000" w:fill="FFFFFF"/>
            <w:noWrap/>
            <w:vAlign w:val="center"/>
            <w:hideMark/>
          </w:tcPr>
          <w:p w14:paraId="416DB77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59</w:t>
            </w:r>
            <w:r w:rsidRPr="00367BEC">
              <w:rPr>
                <w:rFonts w:ascii="Times New Roman" w:hAnsi="Times New Roman"/>
                <w:color w:val="000000"/>
                <w:sz w:val="20"/>
              </w:rPr>
              <w:t>/123)</w:t>
            </w:r>
          </w:p>
        </w:tc>
        <w:tc>
          <w:tcPr>
            <w:tcW w:w="231" w:type="pct"/>
            <w:tcBorders>
              <w:top w:val="nil"/>
              <w:left w:val="nil"/>
              <w:right w:val="nil"/>
            </w:tcBorders>
            <w:shd w:val="clear" w:color="000000" w:fill="FFFFFF"/>
            <w:noWrap/>
            <w:vAlign w:val="center"/>
            <w:hideMark/>
          </w:tcPr>
          <w:p w14:paraId="2924A6A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12,5</w:t>
            </w:r>
          </w:p>
        </w:tc>
        <w:tc>
          <w:tcPr>
            <w:tcW w:w="602" w:type="pct"/>
            <w:gridSpan w:val="2"/>
            <w:tcBorders>
              <w:top w:val="nil"/>
              <w:left w:val="nil"/>
              <w:right w:val="nil"/>
            </w:tcBorders>
            <w:shd w:val="clear" w:color="000000" w:fill="FFFFFF"/>
            <w:noWrap/>
            <w:vAlign w:val="center"/>
            <w:hideMark/>
          </w:tcPr>
          <w:p w14:paraId="7E1B0F2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(15/123)</w:t>
            </w:r>
          </w:p>
        </w:tc>
        <w:tc>
          <w:tcPr>
            <w:tcW w:w="453" w:type="pct"/>
            <w:tcBorders>
              <w:top w:val="nil"/>
              <w:left w:val="nil"/>
              <w:right w:val="nil"/>
            </w:tcBorders>
            <w:shd w:val="clear" w:color="000000" w:fill="FFFFFF"/>
            <w:noWrap/>
            <w:vAlign w:val="center"/>
            <w:hideMark/>
          </w:tcPr>
          <w:p w14:paraId="6F20BF2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−35,4</w:t>
            </w:r>
          </w:p>
        </w:tc>
        <w:tc>
          <w:tcPr>
            <w:tcW w:w="582" w:type="pct"/>
            <w:tcBorders>
              <w:top w:val="nil"/>
              <w:left w:val="nil"/>
              <w:right w:val="nil"/>
            </w:tcBorders>
            <w:shd w:val="clear" w:color="000000" w:fill="FFFFFF"/>
            <w:noWrap/>
            <w:vAlign w:val="center"/>
            <w:hideMark/>
          </w:tcPr>
          <w:p w14:paraId="56531F27"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−73,9</w:t>
            </w:r>
          </w:p>
        </w:tc>
      </w:tr>
      <w:tr w:rsidR="002E4D99" w:rsidRPr="00367BEC" w14:paraId="4B7E2F82" w14:textId="77777777" w:rsidTr="00CF1C1E">
        <w:trPr>
          <w:trHeight w:val="240"/>
        </w:trPr>
        <w:tc>
          <w:tcPr>
            <w:tcW w:w="659" w:type="pct"/>
            <w:tcBorders>
              <w:top w:val="nil"/>
              <w:left w:val="nil"/>
              <w:bottom w:val="single" w:sz="4" w:space="0" w:color="auto"/>
              <w:right w:val="nil"/>
            </w:tcBorders>
            <w:shd w:val="clear" w:color="000000" w:fill="FFFFFF"/>
            <w:noWrap/>
            <w:hideMark/>
          </w:tcPr>
          <w:p w14:paraId="7D47A0F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617" w:type="pct"/>
            <w:tcBorders>
              <w:top w:val="nil"/>
              <w:left w:val="nil"/>
              <w:bottom w:val="single" w:sz="4" w:space="0" w:color="auto"/>
              <w:right w:val="nil"/>
            </w:tcBorders>
            <w:shd w:val="clear" w:color="000000" w:fill="FFFFFF"/>
            <w:noWrap/>
            <w:hideMark/>
          </w:tcPr>
          <w:p w14:paraId="3FF66EC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183" w:type="pct"/>
            <w:tcBorders>
              <w:top w:val="nil"/>
              <w:left w:val="nil"/>
              <w:bottom w:val="single" w:sz="4" w:space="0" w:color="auto"/>
              <w:right w:val="nil"/>
            </w:tcBorders>
            <w:shd w:val="clear" w:color="000000" w:fill="FFFFFF"/>
            <w:noWrap/>
            <w:vAlign w:val="center"/>
            <w:hideMark/>
          </w:tcPr>
          <w:p w14:paraId="6C03D24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mPDI</w:t>
            </w:r>
            <w:proofErr w:type="spellEnd"/>
            <w:r w:rsidRPr="00367BEC">
              <w:rPr>
                <w:rFonts w:ascii="Times New Roman" w:hAnsi="Times New Roman"/>
                <w:color w:val="000000"/>
                <w:sz w:val="20"/>
              </w:rPr>
              <w:t xml:space="preserve"> &gt;43 (%)</w:t>
            </w:r>
          </w:p>
        </w:tc>
        <w:tc>
          <w:tcPr>
            <w:tcW w:w="218" w:type="pct"/>
            <w:tcBorders>
              <w:top w:val="nil"/>
              <w:left w:val="nil"/>
              <w:bottom w:val="single" w:sz="4" w:space="0" w:color="auto"/>
              <w:right w:val="nil"/>
            </w:tcBorders>
            <w:shd w:val="clear" w:color="000000" w:fill="FFFFFF"/>
            <w:noWrap/>
            <w:vAlign w:val="center"/>
            <w:hideMark/>
          </w:tcPr>
          <w:p w14:paraId="69A6EAC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54,5</w:t>
            </w:r>
          </w:p>
        </w:tc>
        <w:tc>
          <w:tcPr>
            <w:tcW w:w="455" w:type="pct"/>
            <w:gridSpan w:val="2"/>
            <w:tcBorders>
              <w:top w:val="nil"/>
              <w:left w:val="nil"/>
              <w:bottom w:val="single" w:sz="4" w:space="0" w:color="auto"/>
              <w:right w:val="nil"/>
            </w:tcBorders>
            <w:shd w:val="clear" w:color="000000" w:fill="FFFFFF"/>
            <w:noWrap/>
            <w:vAlign w:val="center"/>
            <w:hideMark/>
          </w:tcPr>
          <w:p w14:paraId="438986D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67</w:t>
            </w:r>
            <w:r w:rsidRPr="00367BEC">
              <w:rPr>
                <w:rFonts w:ascii="Times New Roman" w:hAnsi="Times New Roman"/>
                <w:color w:val="000000"/>
                <w:sz w:val="20"/>
              </w:rPr>
              <w:t>/123)</w:t>
            </w:r>
          </w:p>
        </w:tc>
        <w:tc>
          <w:tcPr>
            <w:tcW w:w="231" w:type="pct"/>
            <w:tcBorders>
              <w:top w:val="nil"/>
              <w:left w:val="nil"/>
              <w:bottom w:val="single" w:sz="4" w:space="0" w:color="auto"/>
              <w:right w:val="nil"/>
            </w:tcBorders>
            <w:shd w:val="clear" w:color="000000" w:fill="FFFFFF"/>
            <w:noWrap/>
            <w:vAlign w:val="center"/>
            <w:hideMark/>
          </w:tcPr>
          <w:p w14:paraId="0E07E3C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32,5</w:t>
            </w:r>
          </w:p>
        </w:tc>
        <w:tc>
          <w:tcPr>
            <w:tcW w:w="602" w:type="pct"/>
            <w:gridSpan w:val="2"/>
            <w:tcBorders>
              <w:top w:val="nil"/>
              <w:left w:val="nil"/>
              <w:bottom w:val="single" w:sz="4" w:space="0" w:color="auto"/>
              <w:right w:val="nil"/>
            </w:tcBorders>
            <w:shd w:val="clear" w:color="000000" w:fill="FFFFFF"/>
            <w:noWrap/>
            <w:vAlign w:val="center"/>
            <w:hideMark/>
          </w:tcPr>
          <w:p w14:paraId="5FBAA0D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(40/123)</w:t>
            </w:r>
          </w:p>
        </w:tc>
        <w:tc>
          <w:tcPr>
            <w:tcW w:w="453" w:type="pct"/>
            <w:tcBorders>
              <w:top w:val="nil"/>
              <w:left w:val="nil"/>
              <w:bottom w:val="single" w:sz="4" w:space="0" w:color="auto"/>
              <w:right w:val="nil"/>
            </w:tcBorders>
            <w:shd w:val="clear" w:color="000000" w:fill="FFFFFF"/>
            <w:noWrap/>
            <w:vAlign w:val="center"/>
            <w:hideMark/>
          </w:tcPr>
          <w:p w14:paraId="15BA0804"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−22,0</w:t>
            </w:r>
          </w:p>
        </w:tc>
        <w:tc>
          <w:tcPr>
            <w:tcW w:w="582" w:type="pct"/>
            <w:tcBorders>
              <w:top w:val="nil"/>
              <w:left w:val="nil"/>
              <w:bottom w:val="single" w:sz="4" w:space="0" w:color="auto"/>
              <w:right w:val="nil"/>
            </w:tcBorders>
            <w:shd w:val="clear" w:color="000000" w:fill="FFFFFF"/>
            <w:noWrap/>
            <w:vAlign w:val="center"/>
            <w:hideMark/>
          </w:tcPr>
          <w:p w14:paraId="1CD2511B"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−40,4</w:t>
            </w:r>
          </w:p>
        </w:tc>
      </w:tr>
    </w:tbl>
    <w:p w14:paraId="42F158A1" w14:textId="77777777" w:rsidR="002E4D99" w:rsidRPr="00367BEC" w:rsidRDefault="002E4D99" w:rsidP="002E4D99">
      <w:pPr>
        <w:spacing w:after="0" w:line="240" w:lineRule="auto"/>
        <w:jc w:val="both"/>
        <w:rPr>
          <w:rFonts w:ascii="Times New Roman" w:hAnsi="Times New Roman" w:cs="Times New Roman"/>
          <w:b/>
          <w:sz w:val="20"/>
          <w:szCs w:val="20"/>
        </w:rPr>
      </w:pPr>
    </w:p>
    <w:p w14:paraId="3FE2007D" w14:textId="3806D3DA" w:rsidR="002E4D99" w:rsidRPr="00367BEC" w:rsidRDefault="002E4D99" w:rsidP="002E4D99">
      <w:pPr>
        <w:spacing w:after="0" w:line="240" w:lineRule="auto"/>
        <w:jc w:val="both"/>
        <w:rPr>
          <w:rFonts w:ascii="Times New Roman" w:hAnsi="Times New Roman" w:cs="Times New Roman"/>
          <w:bCs/>
          <w:sz w:val="20"/>
          <w:szCs w:val="20"/>
        </w:rPr>
      </w:pPr>
      <w:r w:rsidRPr="00367BEC">
        <w:rPr>
          <w:rFonts w:ascii="Times New Roman" w:hAnsi="Times New Roman"/>
          <w:b/>
          <w:sz w:val="20"/>
        </w:rPr>
        <w:t xml:space="preserve">Abreviaturas: </w:t>
      </w:r>
      <w:r w:rsidRPr="00367BEC">
        <w:rPr>
          <w:rFonts w:ascii="Times New Roman" w:hAnsi="Times New Roman"/>
          <w:sz w:val="20"/>
        </w:rPr>
        <w:t xml:space="preserve">HADS (Escala de Ansiedad y Depresión Hospitalaria), I-MPSS (Sistema de Estadificación del Dolor de Maguncia), MFHW (Cuestionario de Bienestar Habitual de Marburgo), </w:t>
      </w:r>
      <w:proofErr w:type="spellStart"/>
      <w:r w:rsidRPr="00367BEC">
        <w:rPr>
          <w:rFonts w:ascii="Times New Roman" w:hAnsi="Times New Roman"/>
          <w:sz w:val="20"/>
        </w:rPr>
        <w:t>mPDI</w:t>
      </w:r>
      <w:proofErr w:type="spellEnd"/>
      <w:r w:rsidRPr="00367BEC">
        <w:rPr>
          <w:rFonts w:ascii="Times New Roman" w:hAnsi="Times New Roman"/>
          <w:sz w:val="20"/>
        </w:rPr>
        <w:t xml:space="preserve"> (Índice de Discapacidad por Dolor modificado), ODQ (Cuestionario de Discapacidad de </w:t>
      </w:r>
      <w:proofErr w:type="spellStart"/>
      <w:r w:rsidRPr="00367BEC">
        <w:rPr>
          <w:rFonts w:ascii="Times New Roman" w:hAnsi="Times New Roman"/>
          <w:sz w:val="20"/>
        </w:rPr>
        <w:t>Oswestry</w:t>
      </w:r>
      <w:proofErr w:type="spellEnd"/>
      <w:r w:rsidRPr="00367BEC">
        <w:rPr>
          <w:rFonts w:ascii="Times New Roman" w:hAnsi="Times New Roman"/>
          <w:sz w:val="20"/>
        </w:rPr>
        <w:t>), OXN (oxicodona/naloxona), PR (</w:t>
      </w:r>
      <w:r w:rsidR="00784720">
        <w:rPr>
          <w:rFonts w:ascii="Times New Roman" w:hAnsi="Times New Roman"/>
          <w:sz w:val="20"/>
        </w:rPr>
        <w:t>liberación prolongada</w:t>
      </w:r>
      <w:r w:rsidRPr="00367BEC">
        <w:rPr>
          <w:rFonts w:ascii="Times New Roman" w:hAnsi="Times New Roman"/>
          <w:sz w:val="20"/>
        </w:rPr>
        <w:t xml:space="preserve">), TAP (tapentadol), </w:t>
      </w:r>
      <w:proofErr w:type="spellStart"/>
      <w:r w:rsidRPr="00367BEC">
        <w:rPr>
          <w:rFonts w:ascii="Times New Roman" w:hAnsi="Times New Roman"/>
          <w:sz w:val="20"/>
        </w:rPr>
        <w:t>um</w:t>
      </w:r>
      <w:proofErr w:type="spellEnd"/>
      <w:r w:rsidRPr="00367BEC">
        <w:rPr>
          <w:rFonts w:ascii="Times New Roman" w:hAnsi="Times New Roman"/>
          <w:sz w:val="20"/>
        </w:rPr>
        <w:t>-PEA (</w:t>
      </w:r>
      <w:proofErr w:type="spellStart"/>
      <w:r w:rsidRPr="00367BEC">
        <w:rPr>
          <w:rFonts w:ascii="Times New Roman" w:hAnsi="Times New Roman"/>
          <w:sz w:val="20"/>
        </w:rPr>
        <w:t>palmitoiletanolamida</w:t>
      </w:r>
      <w:proofErr w:type="spellEnd"/>
      <w:r w:rsidRPr="00367BEC">
        <w:rPr>
          <w:rFonts w:ascii="Times New Roman" w:hAnsi="Times New Roman"/>
          <w:sz w:val="20"/>
        </w:rPr>
        <w:t xml:space="preserve"> </w:t>
      </w:r>
      <w:proofErr w:type="spellStart"/>
      <w:r w:rsidRPr="00367BEC">
        <w:rPr>
          <w:rFonts w:ascii="Times New Roman" w:hAnsi="Times New Roman"/>
          <w:sz w:val="20"/>
        </w:rPr>
        <w:t>ultramicronizada</w:t>
      </w:r>
      <w:proofErr w:type="spellEnd"/>
      <w:r w:rsidRPr="00367BEC">
        <w:rPr>
          <w:rFonts w:ascii="Times New Roman" w:hAnsi="Times New Roman"/>
          <w:sz w:val="20"/>
        </w:rPr>
        <w:t xml:space="preserve">); </w:t>
      </w:r>
      <w:r w:rsidRPr="00367BEC">
        <w:rPr>
          <w:rFonts w:ascii="Times New Roman" w:hAnsi="Times New Roman"/>
          <w:color w:val="000000"/>
          <w:sz w:val="20"/>
        </w:rPr>
        <w:t xml:space="preserve">los números en </w:t>
      </w:r>
      <w:r w:rsidRPr="00367BEC">
        <w:rPr>
          <w:rFonts w:ascii="Times New Roman" w:hAnsi="Times New Roman"/>
          <w:i/>
          <w:color w:val="000000"/>
          <w:sz w:val="20"/>
        </w:rPr>
        <w:t>cursiva</w:t>
      </w:r>
      <w:r w:rsidRPr="00367BEC">
        <w:rPr>
          <w:rFonts w:ascii="Times New Roman" w:hAnsi="Times New Roman"/>
          <w:color w:val="000000"/>
          <w:sz w:val="20"/>
        </w:rPr>
        <w:t xml:space="preserve"> se han estimado a partir de datos proporcionados en el manuscrito;</w:t>
      </w:r>
      <w:r w:rsidRPr="00367BEC">
        <w:rPr>
          <w:rFonts w:ascii="Times New Roman" w:hAnsi="Times New Roman"/>
          <w:sz w:val="20"/>
        </w:rPr>
        <w:t xml:space="preserve"> </w:t>
      </w:r>
      <w:r w:rsidRPr="00367BEC">
        <w:rPr>
          <w:rFonts w:ascii="Times New Roman" w:hAnsi="Times New Roman"/>
          <w:color w:val="000000"/>
          <w:sz w:val="20"/>
        </w:rPr>
        <w:t xml:space="preserve">las diferencias entre cohortes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r w:rsidRPr="00367BEC">
        <w:rPr>
          <w:rFonts w:ascii="Times New Roman" w:hAnsi="Times New Roman"/>
          <w:b/>
          <w:color w:val="000000"/>
          <w:sz w:val="20"/>
          <w:vertAlign w:val="superscript"/>
        </w:rPr>
        <w:t>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r w:rsidRPr="00367BEC">
        <w:rPr>
          <w:rFonts w:ascii="Times New Roman" w:hAnsi="Times New Roman"/>
          <w:b/>
          <w:color w:val="000000"/>
          <w:sz w:val="20"/>
          <w:vertAlign w:val="superscript"/>
        </w:rPr>
        <w:t>III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0,001), las diferencias </w:t>
      </w:r>
      <w:proofErr w:type="spellStart"/>
      <w:r w:rsidRPr="00367BEC">
        <w:rPr>
          <w:rFonts w:ascii="Times New Roman" w:hAnsi="Times New Roman"/>
          <w:color w:val="000000"/>
          <w:sz w:val="20"/>
        </w:rPr>
        <w:t>intracohorte</w:t>
      </w:r>
      <w:proofErr w:type="spellEnd"/>
      <w:r w:rsidRPr="00367BEC">
        <w:rPr>
          <w:rFonts w:ascii="Times New Roman" w:hAnsi="Times New Roman"/>
          <w:color w:val="000000"/>
          <w:sz w:val="20"/>
        </w:rPr>
        <w:t xml:space="preserve">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proofErr w:type="spellStart"/>
      <w:r w:rsidRPr="00367BEC">
        <w:rPr>
          <w:rFonts w:ascii="Times New Roman" w:hAnsi="Times New Roman"/>
          <w:b/>
          <w:color w:val="000000"/>
          <w:sz w:val="20"/>
          <w:vertAlign w:val="superscript"/>
        </w:rPr>
        <w:t>ii</w:t>
      </w:r>
      <w:proofErr w:type="spellEnd"/>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proofErr w:type="spellStart"/>
      <w:r w:rsidRPr="00367BEC">
        <w:rPr>
          <w:rFonts w:ascii="Times New Roman" w:hAnsi="Times New Roman"/>
          <w:b/>
          <w:color w:val="000000"/>
          <w:sz w:val="20"/>
          <w:vertAlign w:val="superscript"/>
        </w:rPr>
        <w:t>iii</w:t>
      </w:r>
      <w:proofErr w:type="spellEnd"/>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&lt; 0,001).</w:t>
      </w:r>
    </w:p>
    <w:p w14:paraId="5C3999BE" w14:textId="77777777" w:rsidR="002E4D99" w:rsidRPr="00367BEC" w:rsidRDefault="002E4D99" w:rsidP="002E4D99">
      <w:pPr>
        <w:spacing w:after="0" w:line="240" w:lineRule="auto"/>
        <w:rPr>
          <w:rFonts w:ascii="Times New Roman" w:hAnsi="Times New Roman" w:cs="Times New Roman"/>
          <w:bCs/>
          <w:sz w:val="16"/>
          <w:szCs w:val="16"/>
        </w:rPr>
        <w:sectPr w:rsidR="002E4D99" w:rsidRPr="00367BEC" w:rsidSect="00CF1C1E">
          <w:pgSz w:w="16838" w:h="11906" w:orient="landscape"/>
          <w:pgMar w:top="1701" w:right="4080" w:bottom="1701" w:left="1417" w:header="708" w:footer="708" w:gutter="0"/>
          <w:cols w:space="708"/>
          <w:docGrid w:linePitch="360"/>
        </w:sectPr>
      </w:pPr>
      <w:r w:rsidRPr="00367BEC">
        <w:br w:type="page"/>
      </w:r>
    </w:p>
    <w:p w14:paraId="28CC022A" w14:textId="77777777" w:rsidR="002E4D99" w:rsidRPr="00367BEC" w:rsidRDefault="002E4D99" w:rsidP="002E4D99">
      <w:pPr>
        <w:spacing w:after="0" w:line="240" w:lineRule="auto"/>
        <w:ind w:right="2967"/>
        <w:jc w:val="both"/>
        <w:rPr>
          <w:rFonts w:ascii="Times New Roman" w:hAnsi="Times New Roman" w:cs="Times New Roman"/>
          <w:b/>
        </w:rPr>
      </w:pPr>
      <w:r w:rsidRPr="00367BEC">
        <w:rPr>
          <w:rFonts w:ascii="Times New Roman" w:hAnsi="Times New Roman"/>
          <w:sz w:val="14"/>
        </w:rPr>
        <w:lastRenderedPageBreak/>
        <w:t xml:space="preserve"> </w:t>
      </w:r>
      <w:r w:rsidRPr="00367BEC">
        <w:rPr>
          <w:rFonts w:ascii="Times New Roman" w:hAnsi="Times New Roman"/>
          <w:b/>
        </w:rPr>
        <w:t xml:space="preserve">Tabla 14. </w:t>
      </w:r>
      <w:bookmarkStart w:id="10" w:name="_Hlk15994626"/>
      <w:r w:rsidRPr="00367BEC">
        <w:rPr>
          <w:rFonts w:ascii="Times New Roman" w:hAnsi="Times New Roman"/>
        </w:rPr>
        <w:t>Acontecimientos adversos y notificaciones de interrupciones del tratamiento relacionadas con acontecimientos adversos en cada estudio</w:t>
      </w:r>
      <w:bookmarkEnd w:id="10"/>
    </w:p>
    <w:p w14:paraId="357BCD91" w14:textId="77777777" w:rsidR="002E4D99" w:rsidRPr="00367BEC" w:rsidRDefault="002E4D99" w:rsidP="002E4D99">
      <w:pPr>
        <w:spacing w:after="0" w:line="240" w:lineRule="auto"/>
        <w:rPr>
          <w:rFonts w:ascii="Times New Roman" w:hAnsi="Times New Roman" w:cs="Times New Roman"/>
          <w:bCs/>
          <w:sz w:val="16"/>
          <w:szCs w:val="16"/>
        </w:rPr>
      </w:pPr>
    </w:p>
    <w:tbl>
      <w:tblPr>
        <w:tblW w:w="3685" w:type="pct"/>
        <w:tblCellMar>
          <w:left w:w="28" w:type="dxa"/>
          <w:right w:w="28" w:type="dxa"/>
        </w:tblCellMar>
        <w:tblLook w:val="04A0" w:firstRow="1" w:lastRow="0" w:firstColumn="1" w:lastColumn="0" w:noHBand="0" w:noVBand="1"/>
      </w:tblPr>
      <w:tblGrid>
        <w:gridCol w:w="1545"/>
        <w:gridCol w:w="1367"/>
        <w:gridCol w:w="506"/>
        <w:gridCol w:w="976"/>
        <w:gridCol w:w="769"/>
        <w:gridCol w:w="308"/>
        <w:gridCol w:w="2283"/>
        <w:gridCol w:w="602"/>
      </w:tblGrid>
      <w:tr w:rsidR="002E4D99" w:rsidRPr="00367BEC" w14:paraId="6EB6C1DA" w14:textId="77777777" w:rsidTr="00CF1C1E">
        <w:trPr>
          <w:trHeight w:val="283"/>
        </w:trPr>
        <w:tc>
          <w:tcPr>
            <w:tcW w:w="925" w:type="pct"/>
            <w:tcBorders>
              <w:top w:val="nil"/>
              <w:left w:val="nil"/>
              <w:bottom w:val="single" w:sz="8" w:space="0" w:color="auto"/>
              <w:right w:val="nil"/>
            </w:tcBorders>
            <w:shd w:val="clear" w:color="000000" w:fill="FFFFFF"/>
            <w:vAlign w:val="center"/>
            <w:hideMark/>
          </w:tcPr>
          <w:p w14:paraId="6989F204"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Referencia</w:t>
            </w:r>
          </w:p>
        </w:tc>
        <w:tc>
          <w:tcPr>
            <w:tcW w:w="818" w:type="pct"/>
            <w:tcBorders>
              <w:top w:val="nil"/>
              <w:left w:val="nil"/>
              <w:bottom w:val="single" w:sz="8" w:space="0" w:color="auto"/>
              <w:right w:val="nil"/>
            </w:tcBorders>
            <w:shd w:val="clear" w:color="000000" w:fill="FFFFFF"/>
            <w:vAlign w:val="center"/>
            <w:hideMark/>
          </w:tcPr>
          <w:p w14:paraId="6C166216"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Cohorte</w:t>
            </w:r>
          </w:p>
        </w:tc>
        <w:tc>
          <w:tcPr>
            <w:tcW w:w="887" w:type="pct"/>
            <w:gridSpan w:val="2"/>
            <w:tcBorders>
              <w:top w:val="nil"/>
              <w:left w:val="nil"/>
              <w:bottom w:val="single" w:sz="8" w:space="0" w:color="auto"/>
              <w:right w:val="nil"/>
            </w:tcBorders>
            <w:shd w:val="clear" w:color="000000" w:fill="FFFFFF"/>
            <w:vAlign w:val="center"/>
            <w:hideMark/>
          </w:tcPr>
          <w:p w14:paraId="31BDCFA4"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AA (% de pacientes)</w:t>
            </w:r>
          </w:p>
        </w:tc>
        <w:tc>
          <w:tcPr>
            <w:tcW w:w="460" w:type="pct"/>
            <w:tcBorders>
              <w:top w:val="nil"/>
              <w:left w:val="nil"/>
              <w:bottom w:val="single" w:sz="8" w:space="0" w:color="auto"/>
              <w:right w:val="nil"/>
            </w:tcBorders>
            <w:shd w:val="clear" w:color="000000" w:fill="FFFFFF"/>
            <w:vAlign w:val="center"/>
            <w:hideMark/>
          </w:tcPr>
          <w:p w14:paraId="59D3A4E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(n/N)</w:t>
            </w:r>
          </w:p>
        </w:tc>
        <w:tc>
          <w:tcPr>
            <w:tcW w:w="1550" w:type="pct"/>
            <w:gridSpan w:val="2"/>
            <w:tcBorders>
              <w:top w:val="nil"/>
              <w:left w:val="nil"/>
              <w:bottom w:val="single" w:sz="8" w:space="0" w:color="auto"/>
              <w:right w:val="nil"/>
            </w:tcBorders>
            <w:shd w:val="clear" w:color="000000" w:fill="FFFFFF"/>
            <w:vAlign w:val="center"/>
            <w:hideMark/>
          </w:tcPr>
          <w:p w14:paraId="276A72C9"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Interrupción a causa de AA (% de pacientes)</w:t>
            </w:r>
          </w:p>
        </w:tc>
        <w:tc>
          <w:tcPr>
            <w:tcW w:w="360" w:type="pct"/>
            <w:tcBorders>
              <w:top w:val="nil"/>
              <w:left w:val="nil"/>
              <w:bottom w:val="single" w:sz="8" w:space="0" w:color="auto"/>
              <w:right w:val="nil"/>
            </w:tcBorders>
            <w:shd w:val="clear" w:color="000000" w:fill="FFFFFF"/>
            <w:vAlign w:val="center"/>
            <w:hideMark/>
          </w:tcPr>
          <w:p w14:paraId="39C25153" w14:textId="77777777" w:rsidR="002E4D99" w:rsidRPr="00367BEC" w:rsidRDefault="002E4D99" w:rsidP="00CF1C1E">
            <w:pPr>
              <w:spacing w:after="0" w:line="240" w:lineRule="auto"/>
              <w:rPr>
                <w:rFonts w:ascii="Times New Roman" w:eastAsia="Times New Roman" w:hAnsi="Times New Roman" w:cs="Times New Roman"/>
                <w:b/>
                <w:bCs/>
                <w:sz w:val="20"/>
                <w:szCs w:val="20"/>
              </w:rPr>
            </w:pPr>
            <w:r w:rsidRPr="00367BEC">
              <w:rPr>
                <w:rFonts w:ascii="Times New Roman" w:hAnsi="Times New Roman"/>
                <w:b/>
                <w:sz w:val="20"/>
              </w:rPr>
              <w:t>(n/N)</w:t>
            </w:r>
          </w:p>
        </w:tc>
      </w:tr>
      <w:tr w:rsidR="002E4D99" w:rsidRPr="00367BEC" w14:paraId="514D9E5E"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7437CD3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Finco 2018</w:t>
            </w:r>
          </w:p>
        </w:tc>
        <w:tc>
          <w:tcPr>
            <w:tcW w:w="818" w:type="pct"/>
            <w:tcBorders>
              <w:top w:val="nil"/>
              <w:left w:val="nil"/>
              <w:bottom w:val="single" w:sz="8" w:space="0" w:color="auto"/>
              <w:right w:val="nil"/>
            </w:tcBorders>
            <w:shd w:val="clear" w:color="000000" w:fill="FFFFFF"/>
            <w:noWrap/>
            <w:vAlign w:val="center"/>
            <w:hideMark/>
          </w:tcPr>
          <w:p w14:paraId="1BC7BA8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584B8BE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70,4</w:t>
            </w:r>
          </w:p>
        </w:tc>
        <w:tc>
          <w:tcPr>
            <w:tcW w:w="1044" w:type="pct"/>
            <w:gridSpan w:val="2"/>
            <w:tcBorders>
              <w:top w:val="nil"/>
              <w:left w:val="nil"/>
              <w:bottom w:val="single" w:sz="8" w:space="0" w:color="auto"/>
              <w:right w:val="nil"/>
            </w:tcBorders>
            <w:shd w:val="clear" w:color="000000" w:fill="FFFFFF"/>
            <w:noWrap/>
            <w:vAlign w:val="center"/>
            <w:hideMark/>
          </w:tcPr>
          <w:p w14:paraId="65432C5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(19/27)</w:t>
            </w:r>
          </w:p>
        </w:tc>
        <w:tc>
          <w:tcPr>
            <w:tcW w:w="184" w:type="pct"/>
            <w:tcBorders>
              <w:top w:val="nil"/>
              <w:left w:val="nil"/>
              <w:bottom w:val="single" w:sz="8" w:space="0" w:color="auto"/>
              <w:right w:val="nil"/>
            </w:tcBorders>
            <w:shd w:val="clear" w:color="000000" w:fill="FFFFFF"/>
            <w:noWrap/>
            <w:vAlign w:val="center"/>
            <w:hideMark/>
          </w:tcPr>
          <w:p w14:paraId="5D0885A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w:t>
            </w:r>
          </w:p>
        </w:tc>
        <w:tc>
          <w:tcPr>
            <w:tcW w:w="1726" w:type="pct"/>
            <w:gridSpan w:val="2"/>
            <w:tcBorders>
              <w:top w:val="nil"/>
              <w:left w:val="nil"/>
              <w:bottom w:val="single" w:sz="8" w:space="0" w:color="auto"/>
              <w:right w:val="nil"/>
            </w:tcBorders>
            <w:shd w:val="clear" w:color="000000" w:fill="FFFFFF"/>
            <w:noWrap/>
            <w:vAlign w:val="center"/>
            <w:hideMark/>
          </w:tcPr>
          <w:p w14:paraId="2AFD450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(0/27)</w:t>
            </w:r>
          </w:p>
        </w:tc>
      </w:tr>
      <w:tr w:rsidR="002E4D99" w:rsidRPr="00367BEC" w14:paraId="22EE3DE0"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29C155E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Billeci</w:t>
            </w:r>
            <w:proofErr w:type="spellEnd"/>
            <w:r w:rsidRPr="00367BEC">
              <w:rPr>
                <w:rFonts w:ascii="Times New Roman" w:hAnsi="Times New Roman"/>
                <w:color w:val="000000"/>
                <w:sz w:val="20"/>
              </w:rPr>
              <w:t xml:space="preserve"> 2017</w:t>
            </w:r>
          </w:p>
        </w:tc>
        <w:tc>
          <w:tcPr>
            <w:tcW w:w="818" w:type="pct"/>
            <w:tcBorders>
              <w:top w:val="nil"/>
              <w:left w:val="nil"/>
              <w:bottom w:val="single" w:sz="8" w:space="0" w:color="auto"/>
              <w:right w:val="nil"/>
            </w:tcBorders>
            <w:shd w:val="clear" w:color="000000" w:fill="FFFFFF"/>
            <w:noWrap/>
            <w:vAlign w:val="center"/>
            <w:hideMark/>
          </w:tcPr>
          <w:p w14:paraId="7909BCB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05996FA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44" w:type="pct"/>
            <w:gridSpan w:val="2"/>
            <w:tcBorders>
              <w:top w:val="nil"/>
              <w:left w:val="nil"/>
              <w:bottom w:val="single" w:sz="8" w:space="0" w:color="auto"/>
              <w:right w:val="nil"/>
            </w:tcBorders>
            <w:shd w:val="clear" w:color="000000" w:fill="FFFFFF"/>
            <w:noWrap/>
            <w:vAlign w:val="center"/>
            <w:hideMark/>
          </w:tcPr>
          <w:p w14:paraId="6A5C415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84" w:type="pct"/>
            <w:tcBorders>
              <w:top w:val="nil"/>
              <w:left w:val="nil"/>
              <w:bottom w:val="single" w:sz="8" w:space="0" w:color="auto"/>
              <w:right w:val="nil"/>
            </w:tcBorders>
            <w:shd w:val="clear" w:color="000000" w:fill="FFFFFF"/>
            <w:noWrap/>
            <w:vAlign w:val="center"/>
            <w:hideMark/>
          </w:tcPr>
          <w:p w14:paraId="704375E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w:t>
            </w:r>
          </w:p>
        </w:tc>
        <w:tc>
          <w:tcPr>
            <w:tcW w:w="1726" w:type="pct"/>
            <w:gridSpan w:val="2"/>
            <w:tcBorders>
              <w:top w:val="nil"/>
              <w:left w:val="nil"/>
              <w:bottom w:val="single" w:sz="8" w:space="0" w:color="auto"/>
              <w:right w:val="nil"/>
            </w:tcBorders>
            <w:shd w:val="clear" w:color="000000" w:fill="FFFFFF"/>
            <w:noWrap/>
            <w:vAlign w:val="center"/>
            <w:hideMark/>
          </w:tcPr>
          <w:p w14:paraId="670E195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(0/54)</w:t>
            </w:r>
          </w:p>
        </w:tc>
      </w:tr>
      <w:tr w:rsidR="002E4D99" w:rsidRPr="00367BEC" w14:paraId="5ABDCA3B" w14:textId="77777777" w:rsidTr="00CF1C1E">
        <w:trPr>
          <w:trHeight w:val="20"/>
        </w:trPr>
        <w:tc>
          <w:tcPr>
            <w:tcW w:w="925" w:type="pct"/>
            <w:tcBorders>
              <w:top w:val="nil"/>
              <w:left w:val="nil"/>
              <w:bottom w:val="nil"/>
              <w:right w:val="nil"/>
            </w:tcBorders>
            <w:shd w:val="clear" w:color="000000" w:fill="FFFFFF"/>
            <w:noWrap/>
            <w:vAlign w:val="center"/>
            <w:hideMark/>
          </w:tcPr>
          <w:p w14:paraId="28C8811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Guillen 2017</w:t>
            </w:r>
          </w:p>
        </w:tc>
        <w:tc>
          <w:tcPr>
            <w:tcW w:w="818" w:type="pct"/>
            <w:tcBorders>
              <w:top w:val="nil"/>
              <w:left w:val="nil"/>
              <w:bottom w:val="single" w:sz="4" w:space="0" w:color="E7E6E6" w:themeColor="background2"/>
              <w:right w:val="nil"/>
            </w:tcBorders>
            <w:shd w:val="clear" w:color="000000" w:fill="FFFFFF"/>
            <w:noWrap/>
            <w:vAlign w:val="center"/>
            <w:hideMark/>
          </w:tcPr>
          <w:p w14:paraId="2F0DD4A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303" w:type="pct"/>
            <w:tcBorders>
              <w:top w:val="nil"/>
              <w:left w:val="nil"/>
              <w:bottom w:val="single" w:sz="4" w:space="0" w:color="E7E6E6" w:themeColor="background2"/>
              <w:right w:val="nil"/>
            </w:tcBorders>
            <w:shd w:val="clear" w:color="000000" w:fill="FFFFFF"/>
            <w:noWrap/>
            <w:vAlign w:val="center"/>
            <w:hideMark/>
          </w:tcPr>
          <w:p w14:paraId="40A30CF0"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3,3</w:t>
            </w:r>
          </w:p>
        </w:tc>
        <w:tc>
          <w:tcPr>
            <w:tcW w:w="1044" w:type="pct"/>
            <w:gridSpan w:val="2"/>
            <w:tcBorders>
              <w:top w:val="nil"/>
              <w:left w:val="nil"/>
              <w:bottom w:val="single" w:sz="4" w:space="0" w:color="E7E6E6" w:themeColor="background2"/>
              <w:right w:val="nil"/>
            </w:tcBorders>
            <w:shd w:val="clear" w:color="000000" w:fill="FFFFFF"/>
            <w:noWrap/>
            <w:vAlign w:val="center"/>
            <w:hideMark/>
          </w:tcPr>
          <w:p w14:paraId="4A3434F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(3/91)</w:t>
            </w:r>
          </w:p>
        </w:tc>
        <w:tc>
          <w:tcPr>
            <w:tcW w:w="184" w:type="pct"/>
            <w:tcBorders>
              <w:top w:val="nil"/>
              <w:left w:val="nil"/>
              <w:bottom w:val="single" w:sz="4" w:space="0" w:color="E7E6E6" w:themeColor="background2"/>
              <w:right w:val="nil"/>
            </w:tcBorders>
            <w:shd w:val="clear" w:color="000000" w:fill="FFFFFF"/>
            <w:noWrap/>
            <w:vAlign w:val="center"/>
            <w:hideMark/>
          </w:tcPr>
          <w:p w14:paraId="4FE0E98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726" w:type="pct"/>
            <w:gridSpan w:val="2"/>
            <w:tcBorders>
              <w:top w:val="nil"/>
              <w:left w:val="nil"/>
              <w:bottom w:val="single" w:sz="4" w:space="0" w:color="E7E6E6" w:themeColor="background2"/>
              <w:right w:val="nil"/>
            </w:tcBorders>
            <w:shd w:val="clear" w:color="000000" w:fill="FFFFFF"/>
            <w:noWrap/>
            <w:vAlign w:val="center"/>
            <w:hideMark/>
          </w:tcPr>
          <w:p w14:paraId="026AEAC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1DD47EA3"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3E040F8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18" w:type="pct"/>
            <w:tcBorders>
              <w:top w:val="single" w:sz="4" w:space="0" w:color="E7E6E6" w:themeColor="background2"/>
              <w:left w:val="nil"/>
              <w:bottom w:val="single" w:sz="8" w:space="0" w:color="auto"/>
              <w:right w:val="nil"/>
            </w:tcBorders>
            <w:shd w:val="clear" w:color="000000" w:fill="FFFFFF"/>
            <w:noWrap/>
            <w:vAlign w:val="center"/>
            <w:hideMark/>
          </w:tcPr>
          <w:p w14:paraId="3CD4939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TRA</w:t>
            </w:r>
            <w:r w:rsidRPr="00367BEC">
              <w:rPr>
                <w:rFonts w:ascii="Times New Roman" w:hAnsi="Times New Roman"/>
                <w:b/>
                <w:color w:val="000000"/>
                <w:sz w:val="20"/>
                <w:vertAlign w:val="superscript"/>
              </w:rPr>
              <w:t>a</w:t>
            </w:r>
            <w:proofErr w:type="spellEnd"/>
          </w:p>
        </w:tc>
        <w:tc>
          <w:tcPr>
            <w:tcW w:w="303" w:type="pct"/>
            <w:tcBorders>
              <w:top w:val="single" w:sz="4" w:space="0" w:color="E7E6E6" w:themeColor="background2"/>
              <w:left w:val="nil"/>
              <w:bottom w:val="single" w:sz="8" w:space="0" w:color="auto"/>
              <w:right w:val="nil"/>
            </w:tcBorders>
            <w:shd w:val="clear" w:color="000000" w:fill="FFFFFF"/>
            <w:noWrap/>
            <w:vAlign w:val="center"/>
            <w:hideMark/>
          </w:tcPr>
          <w:p w14:paraId="422E2699"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5,1</w:t>
            </w:r>
          </w:p>
        </w:tc>
        <w:tc>
          <w:tcPr>
            <w:tcW w:w="1044"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7F8B9E4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(33/641)</w:t>
            </w:r>
          </w:p>
        </w:tc>
        <w:tc>
          <w:tcPr>
            <w:tcW w:w="184" w:type="pct"/>
            <w:tcBorders>
              <w:top w:val="single" w:sz="4" w:space="0" w:color="E7E6E6" w:themeColor="background2"/>
              <w:left w:val="nil"/>
              <w:bottom w:val="single" w:sz="8" w:space="0" w:color="auto"/>
              <w:right w:val="nil"/>
            </w:tcBorders>
            <w:shd w:val="clear" w:color="000000" w:fill="FFFFFF"/>
            <w:noWrap/>
            <w:vAlign w:val="center"/>
            <w:hideMark/>
          </w:tcPr>
          <w:p w14:paraId="2A4352A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726"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73C669C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2CEF4DE8" w14:textId="77777777" w:rsidTr="00CF1C1E">
        <w:trPr>
          <w:trHeight w:val="20"/>
        </w:trPr>
        <w:tc>
          <w:tcPr>
            <w:tcW w:w="925" w:type="pct"/>
            <w:tcBorders>
              <w:top w:val="nil"/>
              <w:left w:val="nil"/>
              <w:bottom w:val="nil"/>
              <w:right w:val="nil"/>
            </w:tcBorders>
            <w:shd w:val="clear" w:color="000000" w:fill="FFFFFF"/>
            <w:noWrap/>
            <w:vAlign w:val="center"/>
            <w:hideMark/>
          </w:tcPr>
          <w:p w14:paraId="7C0B05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Ueberall</w:t>
            </w:r>
            <w:proofErr w:type="spellEnd"/>
            <w:r w:rsidRPr="00367BEC">
              <w:rPr>
                <w:rFonts w:ascii="Times New Roman" w:hAnsi="Times New Roman"/>
                <w:color w:val="000000"/>
                <w:sz w:val="20"/>
              </w:rPr>
              <w:t xml:space="preserve"> 2016</w:t>
            </w:r>
          </w:p>
        </w:tc>
        <w:tc>
          <w:tcPr>
            <w:tcW w:w="818" w:type="pct"/>
            <w:tcBorders>
              <w:top w:val="nil"/>
              <w:left w:val="nil"/>
              <w:bottom w:val="single" w:sz="4" w:space="0" w:color="E7E6E6" w:themeColor="background2"/>
              <w:right w:val="nil"/>
            </w:tcBorders>
            <w:shd w:val="clear" w:color="000000" w:fill="FFFFFF"/>
            <w:noWrap/>
            <w:vAlign w:val="center"/>
            <w:hideMark/>
          </w:tcPr>
          <w:p w14:paraId="4DE130B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303" w:type="pct"/>
            <w:tcBorders>
              <w:top w:val="nil"/>
              <w:left w:val="nil"/>
              <w:bottom w:val="single" w:sz="4" w:space="0" w:color="E7E6E6" w:themeColor="background2"/>
              <w:right w:val="nil"/>
            </w:tcBorders>
            <w:shd w:val="clear" w:color="000000" w:fill="FFFFFF"/>
            <w:noWrap/>
            <w:vAlign w:val="center"/>
            <w:hideMark/>
          </w:tcPr>
          <w:p w14:paraId="5315C5F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12,0</w:t>
            </w:r>
          </w:p>
        </w:tc>
        <w:tc>
          <w:tcPr>
            <w:tcW w:w="1044" w:type="pct"/>
            <w:gridSpan w:val="2"/>
            <w:tcBorders>
              <w:top w:val="nil"/>
              <w:left w:val="nil"/>
              <w:bottom w:val="single" w:sz="4" w:space="0" w:color="E7E6E6" w:themeColor="background2"/>
              <w:right w:val="nil"/>
            </w:tcBorders>
            <w:shd w:val="clear" w:color="000000" w:fill="FFFFFF"/>
            <w:noWrap/>
            <w:vAlign w:val="center"/>
            <w:hideMark/>
          </w:tcPr>
          <w:p w14:paraId="0557D85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(16/133)</w:t>
            </w:r>
            <w:proofErr w:type="spellStart"/>
            <w:r w:rsidRPr="00367BEC">
              <w:rPr>
                <w:rFonts w:ascii="Times New Roman" w:hAnsi="Times New Roman"/>
                <w:b/>
                <w:color w:val="000000"/>
                <w:sz w:val="20"/>
                <w:vertAlign w:val="superscript"/>
              </w:rPr>
              <w:t>n.s.</w:t>
            </w:r>
            <w:proofErr w:type="spellEnd"/>
          </w:p>
        </w:tc>
        <w:tc>
          <w:tcPr>
            <w:tcW w:w="184" w:type="pct"/>
            <w:tcBorders>
              <w:top w:val="nil"/>
              <w:left w:val="nil"/>
              <w:bottom w:val="single" w:sz="4" w:space="0" w:color="E7E6E6" w:themeColor="background2"/>
              <w:right w:val="nil"/>
            </w:tcBorders>
            <w:shd w:val="clear" w:color="000000" w:fill="FFFFFF"/>
            <w:noWrap/>
            <w:vAlign w:val="center"/>
            <w:hideMark/>
          </w:tcPr>
          <w:p w14:paraId="16134C0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7,5</w:t>
            </w:r>
          </w:p>
        </w:tc>
        <w:tc>
          <w:tcPr>
            <w:tcW w:w="1726" w:type="pct"/>
            <w:gridSpan w:val="2"/>
            <w:tcBorders>
              <w:top w:val="nil"/>
              <w:left w:val="nil"/>
              <w:bottom w:val="single" w:sz="4" w:space="0" w:color="E7E6E6" w:themeColor="background2"/>
              <w:right w:val="nil"/>
            </w:tcBorders>
            <w:shd w:val="clear" w:color="000000" w:fill="FFFFFF"/>
            <w:noWrap/>
            <w:vAlign w:val="center"/>
            <w:hideMark/>
          </w:tcPr>
          <w:p w14:paraId="7D57D0B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(10/133)</w:t>
            </w:r>
            <w:proofErr w:type="spellStart"/>
            <w:r w:rsidRPr="00367BEC">
              <w:rPr>
                <w:rFonts w:ascii="Times New Roman" w:hAnsi="Times New Roman"/>
                <w:b/>
                <w:color w:val="000000"/>
                <w:sz w:val="20"/>
                <w:vertAlign w:val="superscript"/>
              </w:rPr>
              <w:t>n.s.</w:t>
            </w:r>
            <w:proofErr w:type="spellEnd"/>
          </w:p>
        </w:tc>
      </w:tr>
      <w:tr w:rsidR="002E4D99" w:rsidRPr="00367BEC" w14:paraId="0A07E081"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738C8B2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18" w:type="pct"/>
            <w:tcBorders>
              <w:top w:val="single" w:sz="4" w:space="0" w:color="E7E6E6" w:themeColor="background2"/>
              <w:left w:val="nil"/>
              <w:bottom w:val="single" w:sz="8" w:space="0" w:color="auto"/>
              <w:right w:val="nil"/>
            </w:tcBorders>
            <w:shd w:val="clear" w:color="000000" w:fill="FFFFFF"/>
            <w:noWrap/>
            <w:vAlign w:val="center"/>
            <w:hideMark/>
          </w:tcPr>
          <w:p w14:paraId="71C2669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OXN</w:t>
            </w:r>
          </w:p>
        </w:tc>
        <w:tc>
          <w:tcPr>
            <w:tcW w:w="303" w:type="pct"/>
            <w:tcBorders>
              <w:top w:val="single" w:sz="4" w:space="0" w:color="E7E6E6" w:themeColor="background2"/>
              <w:left w:val="nil"/>
              <w:bottom w:val="single" w:sz="8" w:space="0" w:color="auto"/>
              <w:right w:val="nil"/>
            </w:tcBorders>
            <w:shd w:val="clear" w:color="000000" w:fill="FFFFFF"/>
            <w:noWrap/>
            <w:vAlign w:val="center"/>
            <w:hideMark/>
          </w:tcPr>
          <w:p w14:paraId="49E7E8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14,1</w:t>
            </w:r>
          </w:p>
        </w:tc>
        <w:tc>
          <w:tcPr>
            <w:tcW w:w="1044"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60DD069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(18/128)</w:t>
            </w:r>
          </w:p>
        </w:tc>
        <w:tc>
          <w:tcPr>
            <w:tcW w:w="184" w:type="pct"/>
            <w:tcBorders>
              <w:top w:val="single" w:sz="4" w:space="0" w:color="E7E6E6" w:themeColor="background2"/>
              <w:left w:val="nil"/>
              <w:bottom w:val="single" w:sz="8" w:space="0" w:color="auto"/>
              <w:right w:val="nil"/>
            </w:tcBorders>
            <w:shd w:val="clear" w:color="000000" w:fill="FFFFFF"/>
            <w:noWrap/>
            <w:vAlign w:val="center"/>
            <w:hideMark/>
          </w:tcPr>
          <w:p w14:paraId="1A52409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7,0</w:t>
            </w:r>
          </w:p>
        </w:tc>
        <w:tc>
          <w:tcPr>
            <w:tcW w:w="1726"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6085D9F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(9/128)</w:t>
            </w:r>
          </w:p>
        </w:tc>
      </w:tr>
      <w:tr w:rsidR="002E4D99" w:rsidRPr="00367BEC" w14:paraId="5E0475EA" w14:textId="77777777" w:rsidTr="00CF1C1E">
        <w:trPr>
          <w:trHeight w:val="20"/>
        </w:trPr>
        <w:tc>
          <w:tcPr>
            <w:tcW w:w="925" w:type="pct"/>
            <w:tcBorders>
              <w:top w:val="nil"/>
              <w:left w:val="nil"/>
              <w:bottom w:val="nil"/>
              <w:right w:val="nil"/>
            </w:tcBorders>
            <w:shd w:val="clear" w:color="000000" w:fill="FFFFFF"/>
            <w:noWrap/>
            <w:vAlign w:val="center"/>
            <w:hideMark/>
          </w:tcPr>
          <w:p w14:paraId="6B3C6D6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Strick</w:t>
            </w:r>
            <w:proofErr w:type="spellEnd"/>
            <w:r w:rsidRPr="00367BEC">
              <w:rPr>
                <w:rFonts w:ascii="Times New Roman" w:hAnsi="Times New Roman"/>
                <w:color w:val="000000"/>
                <w:sz w:val="20"/>
              </w:rPr>
              <w:t xml:space="preserve"> 2014</w:t>
            </w:r>
          </w:p>
        </w:tc>
        <w:tc>
          <w:tcPr>
            <w:tcW w:w="818" w:type="pct"/>
            <w:tcBorders>
              <w:top w:val="nil"/>
              <w:left w:val="nil"/>
              <w:bottom w:val="single" w:sz="4" w:space="0" w:color="E7E6E6" w:themeColor="background2"/>
              <w:right w:val="nil"/>
            </w:tcBorders>
            <w:shd w:val="clear" w:color="000000" w:fill="FFFFFF"/>
            <w:noWrap/>
            <w:vAlign w:val="center"/>
            <w:hideMark/>
          </w:tcPr>
          <w:p w14:paraId="083F1A7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 (3 m)</w:t>
            </w:r>
          </w:p>
        </w:tc>
        <w:tc>
          <w:tcPr>
            <w:tcW w:w="303" w:type="pct"/>
            <w:tcBorders>
              <w:top w:val="nil"/>
              <w:left w:val="nil"/>
              <w:bottom w:val="single" w:sz="4" w:space="0" w:color="E7E6E6" w:themeColor="background2"/>
              <w:right w:val="nil"/>
            </w:tcBorders>
            <w:shd w:val="clear" w:color="000000" w:fill="FFFFFF"/>
            <w:noWrap/>
            <w:vAlign w:val="center"/>
            <w:hideMark/>
          </w:tcPr>
          <w:p w14:paraId="77E7D4E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21,5</w:t>
            </w:r>
          </w:p>
        </w:tc>
        <w:tc>
          <w:tcPr>
            <w:tcW w:w="1044" w:type="pct"/>
            <w:gridSpan w:val="2"/>
            <w:tcBorders>
              <w:top w:val="nil"/>
              <w:left w:val="nil"/>
              <w:bottom w:val="single" w:sz="4" w:space="0" w:color="E7E6E6" w:themeColor="background2"/>
              <w:right w:val="nil"/>
            </w:tcBorders>
            <w:shd w:val="clear" w:color="000000" w:fill="FFFFFF"/>
            <w:noWrap/>
            <w:vAlign w:val="center"/>
            <w:hideMark/>
          </w:tcPr>
          <w:p w14:paraId="13DF4AD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(331/1537)</w:t>
            </w:r>
          </w:p>
        </w:tc>
        <w:tc>
          <w:tcPr>
            <w:tcW w:w="184" w:type="pct"/>
            <w:tcBorders>
              <w:top w:val="nil"/>
              <w:left w:val="nil"/>
              <w:bottom w:val="single" w:sz="4" w:space="0" w:color="E7E6E6" w:themeColor="background2"/>
              <w:right w:val="nil"/>
            </w:tcBorders>
            <w:shd w:val="clear" w:color="auto" w:fill="auto"/>
            <w:noWrap/>
            <w:vAlign w:val="center"/>
            <w:hideMark/>
          </w:tcPr>
          <w:p w14:paraId="784687B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726" w:type="pct"/>
            <w:gridSpan w:val="2"/>
            <w:tcBorders>
              <w:top w:val="nil"/>
              <w:left w:val="nil"/>
              <w:bottom w:val="single" w:sz="4" w:space="0" w:color="E7E6E6" w:themeColor="background2"/>
              <w:right w:val="nil"/>
            </w:tcBorders>
            <w:shd w:val="clear" w:color="000000" w:fill="FFFFFF"/>
            <w:noWrap/>
            <w:vAlign w:val="center"/>
            <w:hideMark/>
          </w:tcPr>
          <w:p w14:paraId="44D2975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38C044D7"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6C2C6A4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818" w:type="pct"/>
            <w:tcBorders>
              <w:top w:val="single" w:sz="4" w:space="0" w:color="E7E6E6" w:themeColor="background2"/>
              <w:left w:val="nil"/>
              <w:bottom w:val="single" w:sz="8" w:space="0" w:color="auto"/>
              <w:right w:val="nil"/>
            </w:tcBorders>
            <w:shd w:val="clear" w:color="000000" w:fill="FFFFFF"/>
            <w:noWrap/>
            <w:vAlign w:val="center"/>
            <w:hideMark/>
          </w:tcPr>
          <w:p w14:paraId="7EF5D837" w14:textId="5D6D56BC"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 (12</w:t>
            </w:r>
            <w:r w:rsidR="004F4E9B">
              <w:rPr>
                <w:rFonts w:ascii="Times New Roman" w:hAnsi="Times New Roman"/>
                <w:color w:val="000000"/>
                <w:sz w:val="20"/>
              </w:rPr>
              <w:t xml:space="preserve"> </w:t>
            </w:r>
            <w:r w:rsidRPr="00367BEC">
              <w:rPr>
                <w:rFonts w:ascii="Times New Roman" w:hAnsi="Times New Roman"/>
                <w:color w:val="000000"/>
                <w:sz w:val="20"/>
              </w:rPr>
              <w:t>m)</w:t>
            </w:r>
          </w:p>
        </w:tc>
        <w:tc>
          <w:tcPr>
            <w:tcW w:w="303" w:type="pct"/>
            <w:tcBorders>
              <w:top w:val="single" w:sz="4" w:space="0" w:color="E7E6E6" w:themeColor="background2"/>
              <w:left w:val="nil"/>
              <w:bottom w:val="single" w:sz="8" w:space="0" w:color="auto"/>
              <w:right w:val="nil"/>
            </w:tcBorders>
            <w:shd w:val="clear" w:color="000000" w:fill="FFFFFF"/>
            <w:noWrap/>
            <w:vAlign w:val="center"/>
            <w:hideMark/>
          </w:tcPr>
          <w:p w14:paraId="3874BFA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9,0</w:t>
            </w:r>
          </w:p>
        </w:tc>
        <w:tc>
          <w:tcPr>
            <w:tcW w:w="1044"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71E82A8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(53/588)</w:t>
            </w:r>
          </w:p>
        </w:tc>
        <w:tc>
          <w:tcPr>
            <w:tcW w:w="184" w:type="pct"/>
            <w:tcBorders>
              <w:top w:val="single" w:sz="4" w:space="0" w:color="E7E6E6" w:themeColor="background2"/>
              <w:left w:val="nil"/>
              <w:bottom w:val="single" w:sz="8" w:space="0" w:color="auto"/>
              <w:right w:val="nil"/>
            </w:tcBorders>
            <w:shd w:val="clear" w:color="auto" w:fill="auto"/>
            <w:noWrap/>
            <w:vAlign w:val="center"/>
            <w:hideMark/>
          </w:tcPr>
          <w:p w14:paraId="72B448D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726" w:type="pct"/>
            <w:gridSpan w:val="2"/>
            <w:tcBorders>
              <w:top w:val="single" w:sz="4" w:space="0" w:color="E7E6E6" w:themeColor="background2"/>
              <w:left w:val="nil"/>
              <w:bottom w:val="single" w:sz="8" w:space="0" w:color="auto"/>
              <w:right w:val="nil"/>
            </w:tcBorders>
            <w:shd w:val="clear" w:color="000000" w:fill="FFFFFF"/>
            <w:noWrap/>
            <w:vAlign w:val="center"/>
            <w:hideMark/>
          </w:tcPr>
          <w:p w14:paraId="095C65F6"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147A410E"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431DC7F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Schwittay</w:t>
            </w:r>
            <w:proofErr w:type="spellEnd"/>
            <w:r w:rsidRPr="00367BEC">
              <w:rPr>
                <w:rFonts w:ascii="Times New Roman" w:hAnsi="Times New Roman"/>
                <w:color w:val="000000"/>
                <w:sz w:val="20"/>
              </w:rPr>
              <w:t xml:space="preserve"> 2013</w:t>
            </w:r>
          </w:p>
        </w:tc>
        <w:tc>
          <w:tcPr>
            <w:tcW w:w="818" w:type="pct"/>
            <w:tcBorders>
              <w:top w:val="nil"/>
              <w:left w:val="nil"/>
              <w:bottom w:val="single" w:sz="8" w:space="0" w:color="auto"/>
              <w:right w:val="nil"/>
            </w:tcBorders>
            <w:shd w:val="clear" w:color="000000" w:fill="FFFFFF"/>
            <w:noWrap/>
            <w:vAlign w:val="center"/>
            <w:hideMark/>
          </w:tcPr>
          <w:p w14:paraId="688D431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0E53CCE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6,7</w:t>
            </w:r>
          </w:p>
        </w:tc>
        <w:tc>
          <w:tcPr>
            <w:tcW w:w="1044" w:type="pct"/>
            <w:gridSpan w:val="2"/>
            <w:tcBorders>
              <w:top w:val="nil"/>
              <w:left w:val="nil"/>
              <w:bottom w:val="single" w:sz="8" w:space="0" w:color="auto"/>
              <w:right w:val="nil"/>
            </w:tcBorders>
            <w:shd w:val="clear" w:color="000000" w:fill="FFFFFF"/>
            <w:noWrap/>
            <w:vAlign w:val="center"/>
            <w:hideMark/>
          </w:tcPr>
          <w:p w14:paraId="3FE99EC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(217/3222)</w:t>
            </w:r>
          </w:p>
        </w:tc>
        <w:tc>
          <w:tcPr>
            <w:tcW w:w="184" w:type="pct"/>
            <w:tcBorders>
              <w:top w:val="nil"/>
              <w:left w:val="nil"/>
              <w:bottom w:val="single" w:sz="8" w:space="0" w:color="auto"/>
              <w:right w:val="nil"/>
            </w:tcBorders>
            <w:shd w:val="clear" w:color="000000" w:fill="FFFFFF"/>
            <w:noWrap/>
            <w:vAlign w:val="center"/>
            <w:hideMark/>
          </w:tcPr>
          <w:p w14:paraId="007DFE3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5,4</w:t>
            </w:r>
          </w:p>
        </w:tc>
        <w:tc>
          <w:tcPr>
            <w:tcW w:w="1726" w:type="pct"/>
            <w:gridSpan w:val="2"/>
            <w:tcBorders>
              <w:top w:val="nil"/>
              <w:left w:val="nil"/>
              <w:bottom w:val="single" w:sz="8" w:space="0" w:color="auto"/>
              <w:right w:val="nil"/>
            </w:tcBorders>
            <w:shd w:val="clear" w:color="000000" w:fill="FFFFFF"/>
            <w:noWrap/>
            <w:vAlign w:val="center"/>
            <w:hideMark/>
          </w:tcPr>
          <w:p w14:paraId="7C8EFC8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(170/3134)</w:t>
            </w:r>
          </w:p>
        </w:tc>
      </w:tr>
      <w:tr w:rsidR="002E4D99" w:rsidRPr="00367BEC" w14:paraId="0D1C154A"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311E60B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López 2016</w:t>
            </w:r>
          </w:p>
        </w:tc>
        <w:tc>
          <w:tcPr>
            <w:tcW w:w="818" w:type="pct"/>
            <w:tcBorders>
              <w:top w:val="nil"/>
              <w:left w:val="nil"/>
              <w:bottom w:val="single" w:sz="8" w:space="0" w:color="auto"/>
              <w:right w:val="nil"/>
            </w:tcBorders>
            <w:shd w:val="clear" w:color="000000" w:fill="FFFFFF"/>
            <w:noWrap/>
            <w:vAlign w:val="center"/>
            <w:hideMark/>
          </w:tcPr>
          <w:p w14:paraId="75715A3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189FEFD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7,5</w:t>
            </w:r>
          </w:p>
        </w:tc>
        <w:tc>
          <w:tcPr>
            <w:tcW w:w="1044" w:type="pct"/>
            <w:gridSpan w:val="2"/>
            <w:tcBorders>
              <w:top w:val="nil"/>
              <w:left w:val="nil"/>
              <w:bottom w:val="single" w:sz="8" w:space="0" w:color="auto"/>
              <w:right w:val="nil"/>
            </w:tcBorders>
            <w:shd w:val="clear" w:color="000000" w:fill="FFFFFF"/>
            <w:noWrap/>
            <w:vAlign w:val="center"/>
            <w:hideMark/>
          </w:tcPr>
          <w:p w14:paraId="4AC0D39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(4/53)</w:t>
            </w:r>
          </w:p>
        </w:tc>
        <w:tc>
          <w:tcPr>
            <w:tcW w:w="184" w:type="pct"/>
            <w:tcBorders>
              <w:top w:val="nil"/>
              <w:left w:val="nil"/>
              <w:bottom w:val="single" w:sz="8" w:space="0" w:color="auto"/>
              <w:right w:val="nil"/>
            </w:tcBorders>
            <w:shd w:val="clear" w:color="000000" w:fill="FFFFFF"/>
            <w:noWrap/>
            <w:vAlign w:val="center"/>
            <w:hideMark/>
          </w:tcPr>
          <w:p w14:paraId="62810796"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3,8</w:t>
            </w:r>
          </w:p>
        </w:tc>
        <w:tc>
          <w:tcPr>
            <w:tcW w:w="1726" w:type="pct"/>
            <w:gridSpan w:val="2"/>
            <w:tcBorders>
              <w:top w:val="nil"/>
              <w:left w:val="nil"/>
              <w:bottom w:val="single" w:sz="8" w:space="0" w:color="auto"/>
              <w:right w:val="nil"/>
            </w:tcBorders>
            <w:shd w:val="clear" w:color="000000" w:fill="FFFFFF"/>
            <w:noWrap/>
            <w:vAlign w:val="center"/>
            <w:hideMark/>
          </w:tcPr>
          <w:p w14:paraId="0B0D024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(2/53)</w:t>
            </w:r>
          </w:p>
        </w:tc>
      </w:tr>
      <w:tr w:rsidR="002E4D99" w:rsidRPr="00367BEC" w14:paraId="063A3EAC"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096968A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Brunetti 2016</w:t>
            </w:r>
          </w:p>
        </w:tc>
        <w:tc>
          <w:tcPr>
            <w:tcW w:w="818" w:type="pct"/>
            <w:tcBorders>
              <w:top w:val="nil"/>
              <w:left w:val="nil"/>
              <w:bottom w:val="single" w:sz="8" w:space="0" w:color="auto"/>
              <w:right w:val="nil"/>
            </w:tcBorders>
            <w:shd w:val="clear" w:color="000000" w:fill="FFFFFF"/>
            <w:noWrap/>
            <w:vAlign w:val="center"/>
            <w:hideMark/>
          </w:tcPr>
          <w:p w14:paraId="2BE0FEC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7199E00B"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27,8</w:t>
            </w:r>
          </w:p>
        </w:tc>
        <w:tc>
          <w:tcPr>
            <w:tcW w:w="1044" w:type="pct"/>
            <w:gridSpan w:val="2"/>
            <w:tcBorders>
              <w:top w:val="nil"/>
              <w:left w:val="nil"/>
              <w:bottom w:val="single" w:sz="8" w:space="0" w:color="auto"/>
              <w:right w:val="nil"/>
            </w:tcBorders>
            <w:shd w:val="clear" w:color="000000" w:fill="FFFFFF"/>
            <w:noWrap/>
            <w:vAlign w:val="center"/>
            <w:hideMark/>
          </w:tcPr>
          <w:p w14:paraId="3734ED1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(10/36)</w:t>
            </w:r>
          </w:p>
        </w:tc>
        <w:tc>
          <w:tcPr>
            <w:tcW w:w="184" w:type="pct"/>
            <w:tcBorders>
              <w:top w:val="nil"/>
              <w:left w:val="nil"/>
              <w:bottom w:val="single" w:sz="8" w:space="0" w:color="auto"/>
              <w:right w:val="nil"/>
            </w:tcBorders>
            <w:shd w:val="clear" w:color="000000" w:fill="FFFFFF"/>
            <w:noWrap/>
            <w:vAlign w:val="center"/>
            <w:hideMark/>
          </w:tcPr>
          <w:p w14:paraId="0478AF8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726" w:type="pct"/>
            <w:gridSpan w:val="2"/>
            <w:tcBorders>
              <w:top w:val="nil"/>
              <w:left w:val="nil"/>
              <w:bottom w:val="single" w:sz="8" w:space="0" w:color="auto"/>
              <w:right w:val="nil"/>
            </w:tcBorders>
            <w:shd w:val="clear" w:color="000000" w:fill="FFFFFF"/>
            <w:noWrap/>
            <w:vAlign w:val="center"/>
            <w:hideMark/>
          </w:tcPr>
          <w:p w14:paraId="24F280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r>
      <w:tr w:rsidR="002E4D99" w:rsidRPr="00367BEC" w14:paraId="1BA22F97"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03830EB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Schwenke</w:t>
            </w:r>
            <w:proofErr w:type="spellEnd"/>
            <w:r w:rsidRPr="00367BEC">
              <w:rPr>
                <w:rFonts w:ascii="Times New Roman" w:hAnsi="Times New Roman"/>
                <w:color w:val="000000"/>
                <w:sz w:val="20"/>
              </w:rPr>
              <w:t xml:space="preserve"> 2015</w:t>
            </w:r>
          </w:p>
        </w:tc>
        <w:tc>
          <w:tcPr>
            <w:tcW w:w="818" w:type="pct"/>
            <w:tcBorders>
              <w:top w:val="nil"/>
              <w:left w:val="nil"/>
              <w:bottom w:val="single" w:sz="8" w:space="0" w:color="auto"/>
              <w:right w:val="nil"/>
            </w:tcBorders>
            <w:shd w:val="clear" w:color="000000" w:fill="FFFFFF"/>
            <w:noWrap/>
            <w:vAlign w:val="center"/>
            <w:hideMark/>
          </w:tcPr>
          <w:p w14:paraId="55D8989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71619F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4,9</w:t>
            </w:r>
          </w:p>
        </w:tc>
        <w:tc>
          <w:tcPr>
            <w:tcW w:w="1044" w:type="pct"/>
            <w:gridSpan w:val="2"/>
            <w:tcBorders>
              <w:top w:val="nil"/>
              <w:left w:val="nil"/>
              <w:bottom w:val="single" w:sz="8" w:space="0" w:color="auto"/>
              <w:right w:val="nil"/>
            </w:tcBorders>
            <w:shd w:val="clear" w:color="000000" w:fill="FFFFFF"/>
            <w:noWrap/>
            <w:vAlign w:val="center"/>
            <w:hideMark/>
          </w:tcPr>
          <w:p w14:paraId="4930235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(7/143)</w:t>
            </w:r>
          </w:p>
        </w:tc>
        <w:tc>
          <w:tcPr>
            <w:tcW w:w="184" w:type="pct"/>
            <w:tcBorders>
              <w:top w:val="nil"/>
              <w:left w:val="nil"/>
              <w:bottom w:val="single" w:sz="8" w:space="0" w:color="auto"/>
              <w:right w:val="nil"/>
            </w:tcBorders>
            <w:shd w:val="clear" w:color="000000" w:fill="FFFFFF"/>
            <w:noWrap/>
            <w:vAlign w:val="center"/>
            <w:hideMark/>
          </w:tcPr>
          <w:p w14:paraId="56C8FC4D" w14:textId="77777777" w:rsidR="002E4D99" w:rsidRPr="00367BEC" w:rsidRDefault="002E4D99" w:rsidP="00CF1C1E">
            <w:pPr>
              <w:spacing w:after="0" w:line="240" w:lineRule="auto"/>
              <w:rPr>
                <w:rFonts w:ascii="Times New Roman" w:eastAsia="Times New Roman" w:hAnsi="Times New Roman" w:cs="Times New Roman"/>
                <w:i/>
                <w:iCs/>
                <w:color w:val="000000"/>
                <w:sz w:val="20"/>
                <w:szCs w:val="20"/>
              </w:rPr>
            </w:pPr>
            <w:r w:rsidRPr="00367BEC">
              <w:rPr>
                <w:rFonts w:ascii="Times New Roman" w:hAnsi="Times New Roman"/>
                <w:i/>
                <w:color w:val="000000"/>
                <w:sz w:val="20"/>
              </w:rPr>
              <w:t>4,2</w:t>
            </w:r>
          </w:p>
        </w:tc>
        <w:tc>
          <w:tcPr>
            <w:tcW w:w="1726" w:type="pct"/>
            <w:gridSpan w:val="2"/>
            <w:tcBorders>
              <w:top w:val="nil"/>
              <w:left w:val="nil"/>
              <w:bottom w:val="single" w:sz="8" w:space="0" w:color="auto"/>
              <w:right w:val="nil"/>
            </w:tcBorders>
            <w:shd w:val="clear" w:color="000000" w:fill="FFFFFF"/>
            <w:noWrap/>
            <w:vAlign w:val="center"/>
            <w:hideMark/>
          </w:tcPr>
          <w:p w14:paraId="7783F02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(6/143)</w:t>
            </w:r>
          </w:p>
        </w:tc>
      </w:tr>
      <w:tr w:rsidR="002E4D99" w:rsidRPr="00367BEC" w14:paraId="6E915361"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380878B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Schikowski</w:t>
            </w:r>
            <w:proofErr w:type="spellEnd"/>
            <w:r w:rsidRPr="00367BEC">
              <w:rPr>
                <w:rFonts w:ascii="Times New Roman" w:hAnsi="Times New Roman"/>
                <w:color w:val="000000"/>
                <w:sz w:val="20"/>
              </w:rPr>
              <w:t xml:space="preserve"> 2015</w:t>
            </w:r>
          </w:p>
        </w:tc>
        <w:tc>
          <w:tcPr>
            <w:tcW w:w="818" w:type="pct"/>
            <w:tcBorders>
              <w:top w:val="nil"/>
              <w:left w:val="nil"/>
              <w:bottom w:val="single" w:sz="8" w:space="0" w:color="auto"/>
              <w:right w:val="nil"/>
            </w:tcBorders>
            <w:shd w:val="clear" w:color="000000" w:fill="FFFFFF"/>
            <w:noWrap/>
            <w:vAlign w:val="center"/>
            <w:hideMark/>
          </w:tcPr>
          <w:p w14:paraId="380BDB8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 PR</w:t>
            </w:r>
          </w:p>
        </w:tc>
        <w:tc>
          <w:tcPr>
            <w:tcW w:w="303" w:type="pct"/>
            <w:tcBorders>
              <w:top w:val="nil"/>
              <w:left w:val="nil"/>
              <w:bottom w:val="single" w:sz="8" w:space="0" w:color="auto"/>
              <w:right w:val="nil"/>
            </w:tcBorders>
            <w:shd w:val="clear" w:color="000000" w:fill="FFFFFF"/>
            <w:noWrap/>
            <w:vAlign w:val="center"/>
            <w:hideMark/>
          </w:tcPr>
          <w:p w14:paraId="39F2663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12,2</w:t>
            </w:r>
          </w:p>
        </w:tc>
        <w:tc>
          <w:tcPr>
            <w:tcW w:w="1044" w:type="pct"/>
            <w:gridSpan w:val="2"/>
            <w:tcBorders>
              <w:top w:val="nil"/>
              <w:left w:val="nil"/>
              <w:bottom w:val="single" w:sz="8" w:space="0" w:color="auto"/>
              <w:right w:val="nil"/>
            </w:tcBorders>
            <w:shd w:val="clear" w:color="000000" w:fill="FFFFFF"/>
            <w:noWrap/>
            <w:vAlign w:val="center"/>
            <w:hideMark/>
          </w:tcPr>
          <w:p w14:paraId="2349574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(15/123)</w:t>
            </w:r>
          </w:p>
        </w:tc>
        <w:tc>
          <w:tcPr>
            <w:tcW w:w="184" w:type="pct"/>
            <w:tcBorders>
              <w:top w:val="nil"/>
              <w:left w:val="nil"/>
              <w:bottom w:val="single" w:sz="8" w:space="0" w:color="auto"/>
              <w:right w:val="nil"/>
            </w:tcBorders>
            <w:shd w:val="clear" w:color="000000" w:fill="FFFFFF"/>
            <w:noWrap/>
            <w:vAlign w:val="center"/>
            <w:hideMark/>
          </w:tcPr>
          <w:p w14:paraId="4FA70BB3"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2,4</w:t>
            </w:r>
          </w:p>
        </w:tc>
        <w:tc>
          <w:tcPr>
            <w:tcW w:w="1726" w:type="pct"/>
            <w:gridSpan w:val="2"/>
            <w:tcBorders>
              <w:top w:val="nil"/>
              <w:left w:val="nil"/>
              <w:bottom w:val="single" w:sz="8" w:space="0" w:color="auto"/>
              <w:right w:val="nil"/>
            </w:tcBorders>
            <w:shd w:val="clear" w:color="000000" w:fill="FFFFFF"/>
            <w:noWrap/>
            <w:vAlign w:val="center"/>
            <w:hideMark/>
          </w:tcPr>
          <w:p w14:paraId="5678ACF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w:t>
            </w:r>
            <w:r w:rsidRPr="00367BEC">
              <w:rPr>
                <w:rFonts w:ascii="Times New Roman" w:hAnsi="Times New Roman"/>
                <w:i/>
                <w:color w:val="000000"/>
                <w:sz w:val="20"/>
              </w:rPr>
              <w:t>3</w:t>
            </w:r>
            <w:r w:rsidRPr="00367BEC">
              <w:rPr>
                <w:rFonts w:ascii="Times New Roman" w:hAnsi="Times New Roman"/>
                <w:color w:val="000000"/>
                <w:sz w:val="20"/>
              </w:rPr>
              <w:t>/123)</w:t>
            </w:r>
          </w:p>
        </w:tc>
      </w:tr>
      <w:tr w:rsidR="002E4D99" w:rsidRPr="00367BEC" w14:paraId="3091A203" w14:textId="77777777" w:rsidTr="00CF1C1E">
        <w:trPr>
          <w:trHeight w:val="20"/>
        </w:trPr>
        <w:tc>
          <w:tcPr>
            <w:tcW w:w="925" w:type="pct"/>
            <w:tcBorders>
              <w:top w:val="nil"/>
              <w:left w:val="nil"/>
              <w:bottom w:val="single" w:sz="8" w:space="0" w:color="auto"/>
              <w:right w:val="nil"/>
            </w:tcBorders>
            <w:shd w:val="clear" w:color="000000" w:fill="FFFFFF"/>
            <w:noWrap/>
            <w:vAlign w:val="center"/>
            <w:hideMark/>
          </w:tcPr>
          <w:p w14:paraId="5838988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Mercadante 2012</w:t>
            </w:r>
          </w:p>
        </w:tc>
        <w:tc>
          <w:tcPr>
            <w:tcW w:w="818" w:type="pct"/>
            <w:tcBorders>
              <w:top w:val="nil"/>
              <w:left w:val="nil"/>
              <w:bottom w:val="single" w:sz="8" w:space="0" w:color="auto"/>
              <w:right w:val="nil"/>
            </w:tcBorders>
            <w:shd w:val="clear" w:color="000000" w:fill="FFFFFF"/>
            <w:noWrap/>
            <w:vAlign w:val="center"/>
            <w:hideMark/>
          </w:tcPr>
          <w:p w14:paraId="0E40B9F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TAP</w:t>
            </w:r>
          </w:p>
        </w:tc>
        <w:tc>
          <w:tcPr>
            <w:tcW w:w="303" w:type="pct"/>
            <w:tcBorders>
              <w:top w:val="nil"/>
              <w:left w:val="nil"/>
              <w:bottom w:val="single" w:sz="8" w:space="0" w:color="auto"/>
              <w:right w:val="nil"/>
            </w:tcBorders>
            <w:shd w:val="clear" w:color="000000" w:fill="FFFFFF"/>
            <w:noWrap/>
            <w:vAlign w:val="center"/>
            <w:hideMark/>
          </w:tcPr>
          <w:p w14:paraId="642B8F7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044" w:type="pct"/>
            <w:gridSpan w:val="2"/>
            <w:tcBorders>
              <w:top w:val="nil"/>
              <w:left w:val="nil"/>
              <w:bottom w:val="single" w:sz="8" w:space="0" w:color="auto"/>
              <w:right w:val="nil"/>
            </w:tcBorders>
            <w:shd w:val="clear" w:color="000000" w:fill="FFFFFF"/>
            <w:noWrap/>
            <w:vAlign w:val="center"/>
            <w:hideMark/>
          </w:tcPr>
          <w:p w14:paraId="762C051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w:t>
            </w:r>
          </w:p>
        </w:tc>
        <w:tc>
          <w:tcPr>
            <w:tcW w:w="184" w:type="pct"/>
            <w:tcBorders>
              <w:top w:val="nil"/>
              <w:left w:val="nil"/>
              <w:bottom w:val="single" w:sz="8" w:space="0" w:color="auto"/>
              <w:right w:val="nil"/>
            </w:tcBorders>
            <w:shd w:val="clear" w:color="000000" w:fill="FFFFFF"/>
            <w:noWrap/>
            <w:vAlign w:val="center"/>
            <w:hideMark/>
          </w:tcPr>
          <w:p w14:paraId="11CD733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6,0</w:t>
            </w:r>
          </w:p>
        </w:tc>
        <w:tc>
          <w:tcPr>
            <w:tcW w:w="1726" w:type="pct"/>
            <w:gridSpan w:val="2"/>
            <w:tcBorders>
              <w:top w:val="nil"/>
              <w:left w:val="nil"/>
              <w:bottom w:val="single" w:sz="8" w:space="0" w:color="auto"/>
              <w:right w:val="nil"/>
            </w:tcBorders>
            <w:shd w:val="clear" w:color="000000" w:fill="FFFFFF"/>
            <w:noWrap/>
            <w:vAlign w:val="center"/>
            <w:hideMark/>
          </w:tcPr>
          <w:p w14:paraId="11CAEA7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(3/50)</w:t>
            </w:r>
          </w:p>
        </w:tc>
      </w:tr>
    </w:tbl>
    <w:p w14:paraId="5E010B34" w14:textId="77777777" w:rsidR="002E4D99" w:rsidRPr="00367BEC" w:rsidRDefault="002E4D99" w:rsidP="002E4D99">
      <w:pPr>
        <w:spacing w:after="0" w:line="240" w:lineRule="auto"/>
        <w:ind w:right="4537"/>
        <w:jc w:val="both"/>
        <w:rPr>
          <w:rFonts w:ascii="Times New Roman" w:hAnsi="Times New Roman" w:cs="Times New Roman"/>
          <w:b/>
          <w:sz w:val="16"/>
          <w:szCs w:val="16"/>
        </w:rPr>
      </w:pPr>
    </w:p>
    <w:p w14:paraId="6917B9FB" w14:textId="77777777" w:rsidR="002E4D99" w:rsidRPr="00367BEC" w:rsidRDefault="002E4D99" w:rsidP="002E4D99">
      <w:pPr>
        <w:spacing w:after="0" w:line="240" w:lineRule="auto"/>
        <w:ind w:right="2981"/>
        <w:jc w:val="both"/>
        <w:rPr>
          <w:rFonts w:ascii="Times New Roman" w:hAnsi="Times New Roman" w:cs="Times New Roman"/>
          <w:bCs/>
          <w:sz w:val="20"/>
          <w:szCs w:val="20"/>
        </w:rPr>
      </w:pPr>
      <w:r w:rsidRPr="00367BEC">
        <w:rPr>
          <w:rFonts w:ascii="Times New Roman" w:hAnsi="Times New Roman"/>
          <w:b/>
          <w:sz w:val="20"/>
        </w:rPr>
        <w:t xml:space="preserve">Abreviaturas: </w:t>
      </w:r>
      <w:r w:rsidRPr="00367BEC">
        <w:rPr>
          <w:rFonts w:ascii="Times New Roman" w:hAnsi="Times New Roman"/>
          <w:sz w:val="20"/>
        </w:rPr>
        <w:t xml:space="preserve">AA (acontecimientos adversos), m (mes), OXN (oxicodona/naloxona), PR (liberación prolongada), TAP (tapentadol), TRA (tramadol); </w:t>
      </w:r>
      <w:r w:rsidRPr="00367BEC">
        <w:rPr>
          <w:rFonts w:ascii="Times New Roman" w:hAnsi="Times New Roman"/>
          <w:b/>
          <w:color w:val="000000"/>
          <w:sz w:val="20"/>
          <w:vertAlign w:val="superscript"/>
        </w:rPr>
        <w:t xml:space="preserve">a </w:t>
      </w:r>
      <w:r w:rsidRPr="00367BEC">
        <w:rPr>
          <w:rFonts w:ascii="Times New Roman" w:hAnsi="Times New Roman"/>
          <w:color w:val="000000"/>
          <w:sz w:val="20"/>
        </w:rPr>
        <w:t>cohorte con el 68,8 % en tratamiento con tramadol</w:t>
      </w:r>
      <w:r w:rsidRPr="00367BEC">
        <w:rPr>
          <w:rFonts w:ascii="Times New Roman" w:hAnsi="Times New Roman"/>
          <w:sz w:val="20"/>
        </w:rPr>
        <w:t xml:space="preserve">; los números en </w:t>
      </w:r>
      <w:r w:rsidRPr="00367BEC">
        <w:rPr>
          <w:rFonts w:ascii="Times New Roman" w:hAnsi="Times New Roman"/>
          <w:i/>
          <w:sz w:val="20"/>
        </w:rPr>
        <w:t>cursiva</w:t>
      </w:r>
      <w:r w:rsidRPr="00367BEC">
        <w:rPr>
          <w:rFonts w:ascii="Times New Roman" w:hAnsi="Times New Roman"/>
          <w:sz w:val="20"/>
        </w:rPr>
        <w:t xml:space="preserve"> se han estimado a partir de datos proporcionados en el manuscrito; </w:t>
      </w:r>
      <w:r w:rsidRPr="00367BEC">
        <w:rPr>
          <w:rFonts w:ascii="Times New Roman" w:hAnsi="Times New Roman"/>
          <w:color w:val="000000"/>
          <w:sz w:val="20"/>
        </w:rPr>
        <w:t xml:space="preserve">las diferencias entre cohortes son </w:t>
      </w:r>
      <w:proofErr w:type="spellStart"/>
      <w:r w:rsidRPr="00367BEC">
        <w:rPr>
          <w:rFonts w:ascii="Times New Roman" w:hAnsi="Times New Roman"/>
          <w:b/>
          <w:color w:val="000000"/>
          <w:sz w:val="20"/>
          <w:vertAlign w:val="superscript"/>
        </w:rPr>
        <w:t>n.s.</w:t>
      </w:r>
      <w:proofErr w:type="spellEnd"/>
      <w:r w:rsidRPr="00367BEC">
        <w:rPr>
          <w:rFonts w:ascii="Times New Roman" w:hAnsi="Times New Roman"/>
          <w:color w:val="000000"/>
          <w:sz w:val="20"/>
        </w:rPr>
        <w:t xml:space="preserve">(no significativas) </w:t>
      </w:r>
      <w:r w:rsidRPr="00367BEC">
        <w:rPr>
          <w:rFonts w:ascii="Times New Roman" w:hAnsi="Times New Roman"/>
          <w:b/>
          <w:color w:val="000000"/>
          <w:sz w:val="20"/>
          <w:vertAlign w:val="superscript"/>
        </w:rPr>
        <w:t>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0,05) </w:t>
      </w:r>
      <w:r w:rsidRPr="00367BEC">
        <w:rPr>
          <w:rFonts w:ascii="Times New Roman" w:hAnsi="Times New Roman"/>
          <w:b/>
          <w:color w:val="000000"/>
          <w:sz w:val="20"/>
          <w:vertAlign w:val="superscript"/>
        </w:rPr>
        <w:t>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xml:space="preserve"> &lt; 0,01) </w:t>
      </w:r>
      <w:r w:rsidRPr="00367BEC">
        <w:rPr>
          <w:rFonts w:ascii="Times New Roman" w:hAnsi="Times New Roman"/>
          <w:b/>
          <w:color w:val="000000"/>
          <w:sz w:val="20"/>
          <w:vertAlign w:val="superscript"/>
        </w:rPr>
        <w:t>III</w:t>
      </w:r>
      <w:r w:rsidRPr="00367BEC">
        <w:rPr>
          <w:rFonts w:ascii="Times New Roman" w:hAnsi="Times New Roman"/>
          <w:color w:val="000000"/>
          <w:sz w:val="20"/>
        </w:rPr>
        <w:t>(</w:t>
      </w:r>
      <w:r w:rsidRPr="00367BEC">
        <w:rPr>
          <w:rFonts w:ascii="Times New Roman" w:hAnsi="Times New Roman"/>
          <w:i/>
          <w:iCs/>
          <w:color w:val="000000"/>
          <w:sz w:val="20"/>
        </w:rPr>
        <w:t>p</w:t>
      </w:r>
      <w:r w:rsidRPr="00367BEC">
        <w:rPr>
          <w:rFonts w:ascii="Times New Roman" w:hAnsi="Times New Roman"/>
          <w:color w:val="000000"/>
          <w:sz w:val="20"/>
        </w:rPr>
        <w:t> &lt; 0,001).</w:t>
      </w:r>
    </w:p>
    <w:p w14:paraId="4E46C832" w14:textId="77777777" w:rsidR="002E4D99" w:rsidRPr="00367BEC" w:rsidRDefault="002E4D99" w:rsidP="002E4D99">
      <w:pPr>
        <w:rPr>
          <w:rFonts w:ascii="Times New Roman" w:hAnsi="Times New Roman" w:cs="Times New Roman"/>
          <w:bCs/>
          <w:sz w:val="16"/>
          <w:szCs w:val="16"/>
        </w:rPr>
      </w:pPr>
      <w:r w:rsidRPr="00367BEC">
        <w:br w:type="page"/>
      </w:r>
    </w:p>
    <w:p w14:paraId="0C7B033A" w14:textId="77777777" w:rsidR="002E4D99" w:rsidRPr="00367BEC" w:rsidRDefault="002E4D99" w:rsidP="002E4D99">
      <w:pPr>
        <w:spacing w:after="0" w:line="240" w:lineRule="auto"/>
        <w:jc w:val="both"/>
        <w:rPr>
          <w:rFonts w:ascii="Times New Roman" w:hAnsi="Times New Roman" w:cs="Times New Roman"/>
          <w:b/>
          <w:sz w:val="24"/>
          <w:szCs w:val="24"/>
        </w:rPr>
        <w:sectPr w:rsidR="002E4D99" w:rsidRPr="00367BEC" w:rsidSect="00CF1C1E">
          <w:pgSz w:w="16838" w:h="11906" w:orient="landscape"/>
          <w:pgMar w:top="1701" w:right="4082" w:bottom="1701" w:left="1418" w:header="709" w:footer="709" w:gutter="0"/>
          <w:cols w:space="708"/>
          <w:docGrid w:linePitch="360"/>
        </w:sectPr>
      </w:pPr>
    </w:p>
    <w:p w14:paraId="66379279" w14:textId="78FA32DA" w:rsidR="002E4D99" w:rsidRPr="00367BEC" w:rsidRDefault="002E4D99" w:rsidP="002E4D99">
      <w:pPr>
        <w:spacing w:after="0" w:line="240" w:lineRule="auto"/>
        <w:jc w:val="both"/>
        <w:rPr>
          <w:rFonts w:ascii="Times New Roman" w:hAnsi="Times New Roman" w:cs="Times New Roman"/>
          <w:bCs/>
        </w:rPr>
      </w:pPr>
      <w:r w:rsidRPr="00367BEC">
        <w:rPr>
          <w:rFonts w:ascii="Times New Roman" w:hAnsi="Times New Roman"/>
          <w:b/>
        </w:rPr>
        <w:lastRenderedPageBreak/>
        <w:t xml:space="preserve">Tabla 15. </w:t>
      </w:r>
      <w:bookmarkStart w:id="11" w:name="_Hlk15994637"/>
      <w:r w:rsidRPr="00367BEC">
        <w:rPr>
          <w:rFonts w:ascii="Times New Roman" w:hAnsi="Times New Roman"/>
        </w:rPr>
        <w:t xml:space="preserve">Riesgo de sesgo en cada estudio según la </w:t>
      </w:r>
      <w:r w:rsidR="0091535B" w:rsidRPr="00170D2E">
        <w:rPr>
          <w:rFonts w:ascii="Times New Roman" w:hAnsi="Times New Roman"/>
          <w:i/>
          <w:iCs/>
        </w:rPr>
        <w:t xml:space="preserve">NIH </w:t>
      </w:r>
      <w:proofErr w:type="spellStart"/>
      <w:r w:rsidR="0091535B" w:rsidRPr="00170D2E">
        <w:rPr>
          <w:rFonts w:ascii="Times New Roman" w:hAnsi="Times New Roman"/>
          <w:i/>
          <w:iCs/>
        </w:rPr>
        <w:t>Quality</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Assessment</w:t>
      </w:r>
      <w:proofErr w:type="spellEnd"/>
      <w:r w:rsidR="0091535B" w:rsidRPr="00170D2E">
        <w:rPr>
          <w:rFonts w:ascii="Times New Roman" w:hAnsi="Times New Roman"/>
          <w:i/>
          <w:iCs/>
        </w:rPr>
        <w:t xml:space="preserve"> Tool </w:t>
      </w:r>
      <w:proofErr w:type="spellStart"/>
      <w:r w:rsidR="0091535B" w:rsidRPr="00170D2E">
        <w:rPr>
          <w:rFonts w:ascii="Times New Roman" w:hAnsi="Times New Roman"/>
          <w:i/>
          <w:iCs/>
        </w:rPr>
        <w:t>for</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Observational</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Cohort</w:t>
      </w:r>
      <w:proofErr w:type="spellEnd"/>
      <w:r w:rsidR="0091535B" w:rsidRPr="00170D2E">
        <w:rPr>
          <w:rFonts w:ascii="Times New Roman" w:hAnsi="Times New Roman"/>
          <w:i/>
          <w:iCs/>
        </w:rPr>
        <w:t xml:space="preserve"> and Cross-</w:t>
      </w:r>
      <w:proofErr w:type="spellStart"/>
      <w:r w:rsidR="0091535B" w:rsidRPr="00170D2E">
        <w:rPr>
          <w:rFonts w:ascii="Times New Roman" w:hAnsi="Times New Roman"/>
          <w:i/>
          <w:iCs/>
        </w:rPr>
        <w:t>sectional</w:t>
      </w:r>
      <w:proofErr w:type="spellEnd"/>
      <w:r w:rsidR="0091535B" w:rsidRPr="00170D2E">
        <w:rPr>
          <w:rFonts w:ascii="Times New Roman" w:hAnsi="Times New Roman"/>
          <w:i/>
          <w:iCs/>
        </w:rPr>
        <w:t xml:space="preserve"> </w:t>
      </w:r>
      <w:proofErr w:type="spellStart"/>
      <w:r w:rsidR="0091535B" w:rsidRPr="00170D2E">
        <w:rPr>
          <w:rFonts w:ascii="Times New Roman" w:hAnsi="Times New Roman"/>
          <w:i/>
          <w:iCs/>
        </w:rPr>
        <w:t>Studies</w:t>
      </w:r>
      <w:bookmarkEnd w:id="11"/>
      <w:proofErr w:type="spellEnd"/>
      <w:r w:rsidRPr="00367BEC">
        <w:rPr>
          <w:rFonts w:ascii="Times New Roman" w:hAnsi="Times New Roman"/>
        </w:rPr>
        <w:t xml:space="preserve"> </w:t>
      </w:r>
      <w:r w:rsidRPr="00367BEC">
        <w:rPr>
          <w:rFonts w:ascii="Times New Roman" w:hAnsi="Times New Roman" w:cs="Times New Roman"/>
          <w:i/>
        </w:rPr>
        <w:fldChar w:fldCharType="begin"/>
      </w:r>
      <w:r w:rsidR="004F143F" w:rsidRPr="00367BEC">
        <w:rPr>
          <w:rFonts w:ascii="Times New Roman" w:hAnsi="Times New Roman" w:cs="Times New Roman"/>
          <w:i/>
        </w:rPr>
        <w:instrText xml:space="preserve"> ADDIN ZOTERO_ITEM CSL_CITATION {"citationID":"mvFfZsAr","properties":{"formattedCitation":"(6)","plainCitation":"(6)","noteIndex":0},"citationItems":[{"id":44008,"uris":["http://zotero.org/groups/2141613/items/B37EDUAG"],"uri":["http://zotero.org/groups/2141613/items/B37EDUAG"],"itemData":{"id":44008,"type":"webpage","title":"Study Quality Assessment Tools","URL":"https://www.nhlbi.nih.gov/health-topics/study-quality-assessment-tools","author":[{"family":"National Heart, Lung, and Blood Institute (NHLBI)","given":""}],"accessed":{"date-parts":[["2019",7,9]]}}}],"schema":"https://github.com/citation-style-language/schema/raw/master/csl-citation.json"} </w:instrText>
      </w:r>
      <w:r w:rsidRPr="00367BEC">
        <w:rPr>
          <w:rFonts w:ascii="Times New Roman" w:hAnsi="Times New Roman" w:cs="Times New Roman"/>
          <w:i/>
        </w:rPr>
        <w:fldChar w:fldCharType="separate"/>
      </w:r>
      <w:r w:rsidR="00C56A05" w:rsidRPr="00367BEC">
        <w:rPr>
          <w:rFonts w:ascii="Times New Roman" w:hAnsi="Times New Roman" w:cs="Times New Roman"/>
        </w:rPr>
        <w:t>(6)</w:t>
      </w:r>
      <w:r w:rsidRPr="00367BEC">
        <w:rPr>
          <w:rFonts w:ascii="Times New Roman" w:hAnsi="Times New Roman" w:cs="Times New Roman"/>
          <w:i/>
        </w:rPr>
        <w:fldChar w:fldCharType="end"/>
      </w:r>
    </w:p>
    <w:p w14:paraId="7CFB13F4" w14:textId="77777777" w:rsidR="002E4D99" w:rsidRPr="00367BEC" w:rsidRDefault="002E4D99" w:rsidP="002E4D99">
      <w:pPr>
        <w:spacing w:after="0" w:line="240" w:lineRule="auto"/>
        <w:jc w:val="both"/>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1608"/>
        <w:gridCol w:w="424"/>
        <w:gridCol w:w="424"/>
        <w:gridCol w:w="755"/>
        <w:gridCol w:w="755"/>
        <w:gridCol w:w="424"/>
        <w:gridCol w:w="425"/>
        <w:gridCol w:w="756"/>
        <w:gridCol w:w="385"/>
        <w:gridCol w:w="696"/>
        <w:gridCol w:w="471"/>
        <w:gridCol w:w="475"/>
        <w:gridCol w:w="756"/>
        <w:gridCol w:w="1068"/>
        <w:gridCol w:w="756"/>
        <w:gridCol w:w="1163"/>
      </w:tblGrid>
      <w:tr w:rsidR="002E4D99" w:rsidRPr="00367BEC" w14:paraId="154F3376" w14:textId="77777777" w:rsidTr="00CF1C1E">
        <w:trPr>
          <w:trHeight w:val="225"/>
        </w:trPr>
        <w:tc>
          <w:tcPr>
            <w:tcW w:w="738" w:type="pct"/>
            <w:tcBorders>
              <w:top w:val="nil"/>
              <w:left w:val="nil"/>
              <w:bottom w:val="single" w:sz="4" w:space="0" w:color="auto"/>
              <w:right w:val="nil"/>
            </w:tcBorders>
            <w:shd w:val="clear" w:color="000000" w:fill="FFFFFF"/>
            <w:noWrap/>
            <w:vAlign w:val="bottom"/>
            <w:hideMark/>
          </w:tcPr>
          <w:p w14:paraId="47397C57"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Referencia</w:t>
            </w:r>
          </w:p>
        </w:tc>
        <w:tc>
          <w:tcPr>
            <w:tcW w:w="216" w:type="pct"/>
            <w:tcBorders>
              <w:top w:val="nil"/>
              <w:left w:val="nil"/>
              <w:bottom w:val="single" w:sz="4" w:space="0" w:color="auto"/>
              <w:right w:val="nil"/>
            </w:tcBorders>
            <w:shd w:val="clear" w:color="000000" w:fill="FFFFFF"/>
            <w:noWrap/>
            <w:vAlign w:val="bottom"/>
            <w:hideMark/>
          </w:tcPr>
          <w:p w14:paraId="0363E376"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P1</w:t>
            </w:r>
          </w:p>
        </w:tc>
        <w:tc>
          <w:tcPr>
            <w:tcW w:w="216" w:type="pct"/>
            <w:tcBorders>
              <w:top w:val="nil"/>
              <w:left w:val="nil"/>
              <w:bottom w:val="single" w:sz="4" w:space="0" w:color="auto"/>
              <w:right w:val="nil"/>
            </w:tcBorders>
            <w:shd w:val="clear" w:color="000000" w:fill="FFFFFF"/>
            <w:noWrap/>
            <w:vAlign w:val="bottom"/>
            <w:hideMark/>
          </w:tcPr>
          <w:p w14:paraId="2A19CEC8"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P2</w:t>
            </w:r>
          </w:p>
        </w:tc>
        <w:tc>
          <w:tcPr>
            <w:tcW w:w="362" w:type="pct"/>
            <w:tcBorders>
              <w:top w:val="nil"/>
              <w:left w:val="nil"/>
              <w:bottom w:val="single" w:sz="4" w:space="0" w:color="auto"/>
              <w:right w:val="nil"/>
            </w:tcBorders>
            <w:shd w:val="clear" w:color="000000" w:fill="FFFFFF"/>
            <w:noWrap/>
            <w:vAlign w:val="bottom"/>
            <w:hideMark/>
          </w:tcPr>
          <w:p w14:paraId="3B1E88E0"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P3</w:t>
            </w:r>
          </w:p>
        </w:tc>
        <w:tc>
          <w:tcPr>
            <w:tcW w:w="362" w:type="pct"/>
            <w:tcBorders>
              <w:top w:val="nil"/>
              <w:left w:val="nil"/>
              <w:bottom w:val="single" w:sz="4" w:space="0" w:color="auto"/>
              <w:right w:val="nil"/>
            </w:tcBorders>
            <w:shd w:val="clear" w:color="000000" w:fill="FFFFFF"/>
            <w:noWrap/>
            <w:vAlign w:val="bottom"/>
            <w:hideMark/>
          </w:tcPr>
          <w:p w14:paraId="1D75D863"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P4</w:t>
            </w:r>
          </w:p>
        </w:tc>
        <w:tc>
          <w:tcPr>
            <w:tcW w:w="216" w:type="pct"/>
            <w:tcBorders>
              <w:top w:val="nil"/>
              <w:left w:val="nil"/>
              <w:bottom w:val="single" w:sz="4" w:space="0" w:color="auto"/>
              <w:right w:val="nil"/>
            </w:tcBorders>
            <w:shd w:val="clear" w:color="000000" w:fill="FFFFFF"/>
            <w:noWrap/>
            <w:vAlign w:val="bottom"/>
            <w:hideMark/>
          </w:tcPr>
          <w:p w14:paraId="4CFB0DBA"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P5</w:t>
            </w:r>
          </w:p>
        </w:tc>
        <w:tc>
          <w:tcPr>
            <w:tcW w:w="216" w:type="pct"/>
            <w:tcBorders>
              <w:top w:val="nil"/>
              <w:left w:val="nil"/>
              <w:bottom w:val="single" w:sz="4" w:space="0" w:color="auto"/>
              <w:right w:val="nil"/>
            </w:tcBorders>
            <w:shd w:val="clear" w:color="000000" w:fill="FFFFFF"/>
            <w:noWrap/>
            <w:vAlign w:val="bottom"/>
            <w:hideMark/>
          </w:tcPr>
          <w:p w14:paraId="564A8883"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P6</w:t>
            </w:r>
          </w:p>
        </w:tc>
        <w:tc>
          <w:tcPr>
            <w:tcW w:w="362" w:type="pct"/>
            <w:tcBorders>
              <w:top w:val="nil"/>
              <w:left w:val="nil"/>
              <w:bottom w:val="single" w:sz="4" w:space="0" w:color="auto"/>
              <w:right w:val="nil"/>
            </w:tcBorders>
            <w:shd w:val="clear" w:color="000000" w:fill="FFFFFF"/>
            <w:noWrap/>
            <w:vAlign w:val="bottom"/>
            <w:hideMark/>
          </w:tcPr>
          <w:p w14:paraId="0463F1AB"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P7</w:t>
            </w:r>
          </w:p>
        </w:tc>
        <w:tc>
          <w:tcPr>
            <w:tcW w:w="188" w:type="pct"/>
            <w:tcBorders>
              <w:top w:val="nil"/>
              <w:left w:val="nil"/>
              <w:bottom w:val="single" w:sz="4" w:space="0" w:color="auto"/>
              <w:right w:val="nil"/>
            </w:tcBorders>
            <w:shd w:val="clear" w:color="000000" w:fill="FFFFFF"/>
            <w:noWrap/>
            <w:vAlign w:val="bottom"/>
            <w:hideMark/>
          </w:tcPr>
          <w:p w14:paraId="093AEC11"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P8</w:t>
            </w:r>
          </w:p>
        </w:tc>
        <w:tc>
          <w:tcPr>
            <w:tcW w:w="345" w:type="pct"/>
            <w:tcBorders>
              <w:top w:val="nil"/>
              <w:left w:val="nil"/>
              <w:bottom w:val="single" w:sz="4" w:space="0" w:color="auto"/>
              <w:right w:val="nil"/>
            </w:tcBorders>
            <w:shd w:val="clear" w:color="000000" w:fill="FFFFFF"/>
            <w:noWrap/>
            <w:vAlign w:val="bottom"/>
            <w:hideMark/>
          </w:tcPr>
          <w:p w14:paraId="347EEB78"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P9</w:t>
            </w:r>
          </w:p>
        </w:tc>
        <w:tc>
          <w:tcPr>
            <w:tcW w:w="237" w:type="pct"/>
            <w:tcBorders>
              <w:top w:val="nil"/>
              <w:left w:val="nil"/>
              <w:bottom w:val="single" w:sz="4" w:space="0" w:color="auto"/>
              <w:right w:val="nil"/>
            </w:tcBorders>
            <w:shd w:val="clear" w:color="000000" w:fill="FFFFFF"/>
            <w:noWrap/>
            <w:vAlign w:val="bottom"/>
            <w:hideMark/>
          </w:tcPr>
          <w:p w14:paraId="041C2347"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P10</w:t>
            </w:r>
          </w:p>
        </w:tc>
        <w:tc>
          <w:tcPr>
            <w:tcW w:w="238" w:type="pct"/>
            <w:tcBorders>
              <w:top w:val="nil"/>
              <w:left w:val="nil"/>
              <w:bottom w:val="single" w:sz="4" w:space="0" w:color="auto"/>
              <w:right w:val="nil"/>
            </w:tcBorders>
            <w:shd w:val="clear" w:color="000000" w:fill="FFFFFF"/>
            <w:noWrap/>
            <w:vAlign w:val="bottom"/>
            <w:hideMark/>
          </w:tcPr>
          <w:p w14:paraId="4682159D"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P11</w:t>
            </w:r>
          </w:p>
        </w:tc>
        <w:tc>
          <w:tcPr>
            <w:tcW w:w="362" w:type="pct"/>
            <w:tcBorders>
              <w:top w:val="nil"/>
              <w:left w:val="nil"/>
              <w:bottom w:val="single" w:sz="4" w:space="0" w:color="auto"/>
              <w:right w:val="nil"/>
            </w:tcBorders>
            <w:shd w:val="clear" w:color="000000" w:fill="FFFFFF"/>
            <w:noWrap/>
            <w:vAlign w:val="bottom"/>
            <w:hideMark/>
          </w:tcPr>
          <w:p w14:paraId="0783F211"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P12</w:t>
            </w:r>
          </w:p>
        </w:tc>
        <w:tc>
          <w:tcPr>
            <w:tcW w:w="238" w:type="pct"/>
            <w:tcBorders>
              <w:top w:val="nil"/>
              <w:left w:val="nil"/>
              <w:bottom w:val="single" w:sz="4" w:space="0" w:color="auto"/>
              <w:right w:val="nil"/>
            </w:tcBorders>
            <w:shd w:val="clear" w:color="000000" w:fill="FFFFFF"/>
            <w:noWrap/>
            <w:vAlign w:val="bottom"/>
            <w:hideMark/>
          </w:tcPr>
          <w:p w14:paraId="6BEA3B55"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P13</w:t>
            </w:r>
          </w:p>
        </w:tc>
        <w:tc>
          <w:tcPr>
            <w:tcW w:w="362" w:type="pct"/>
            <w:tcBorders>
              <w:top w:val="nil"/>
              <w:left w:val="nil"/>
              <w:bottom w:val="single" w:sz="4" w:space="0" w:color="auto"/>
              <w:right w:val="nil"/>
            </w:tcBorders>
            <w:shd w:val="clear" w:color="000000" w:fill="FFFFFF"/>
            <w:noWrap/>
            <w:vAlign w:val="bottom"/>
            <w:hideMark/>
          </w:tcPr>
          <w:p w14:paraId="13F31ED2"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P14</w:t>
            </w:r>
          </w:p>
        </w:tc>
        <w:tc>
          <w:tcPr>
            <w:tcW w:w="342" w:type="pct"/>
            <w:tcBorders>
              <w:top w:val="nil"/>
              <w:left w:val="nil"/>
              <w:bottom w:val="single" w:sz="4" w:space="0" w:color="auto"/>
              <w:right w:val="nil"/>
            </w:tcBorders>
            <w:shd w:val="clear" w:color="000000" w:fill="FFFFFF"/>
            <w:noWrap/>
            <w:vAlign w:val="bottom"/>
            <w:hideMark/>
          </w:tcPr>
          <w:p w14:paraId="70F22A57"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Calificación</w:t>
            </w:r>
          </w:p>
        </w:tc>
      </w:tr>
      <w:tr w:rsidR="002E4D99" w:rsidRPr="00367BEC" w14:paraId="065B260C" w14:textId="77777777" w:rsidTr="00CF1C1E">
        <w:trPr>
          <w:trHeight w:val="225"/>
        </w:trPr>
        <w:tc>
          <w:tcPr>
            <w:tcW w:w="738" w:type="pct"/>
            <w:tcBorders>
              <w:top w:val="nil"/>
              <w:left w:val="nil"/>
              <w:bottom w:val="nil"/>
              <w:right w:val="nil"/>
            </w:tcBorders>
            <w:shd w:val="clear" w:color="000000" w:fill="FFFFFF"/>
            <w:noWrap/>
            <w:vAlign w:val="bottom"/>
            <w:hideMark/>
          </w:tcPr>
          <w:p w14:paraId="1A75E00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Finco 2018</w:t>
            </w:r>
          </w:p>
        </w:tc>
        <w:tc>
          <w:tcPr>
            <w:tcW w:w="216" w:type="pct"/>
            <w:tcBorders>
              <w:top w:val="nil"/>
              <w:left w:val="nil"/>
              <w:bottom w:val="nil"/>
              <w:right w:val="nil"/>
            </w:tcBorders>
            <w:shd w:val="clear" w:color="000000" w:fill="FFFFFF"/>
            <w:noWrap/>
            <w:vAlign w:val="bottom"/>
            <w:hideMark/>
          </w:tcPr>
          <w:p w14:paraId="372136A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103B708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358B12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0C91E5C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542933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4B993EB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106B72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09AD75D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5E8E79B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1ADF6B2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081F31B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2FC395F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7D5E20E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1F21A39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688D0DE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Regular</w:t>
            </w:r>
          </w:p>
        </w:tc>
      </w:tr>
      <w:tr w:rsidR="002E4D99" w:rsidRPr="00367BEC" w14:paraId="06FAAD1D" w14:textId="77777777" w:rsidTr="00CF1C1E">
        <w:trPr>
          <w:trHeight w:val="225"/>
        </w:trPr>
        <w:tc>
          <w:tcPr>
            <w:tcW w:w="738" w:type="pct"/>
            <w:tcBorders>
              <w:top w:val="nil"/>
              <w:left w:val="nil"/>
              <w:bottom w:val="nil"/>
              <w:right w:val="nil"/>
            </w:tcBorders>
            <w:shd w:val="clear" w:color="000000" w:fill="FFFFFF"/>
            <w:noWrap/>
            <w:vAlign w:val="bottom"/>
            <w:hideMark/>
          </w:tcPr>
          <w:p w14:paraId="71CF46A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Billeci</w:t>
            </w:r>
            <w:proofErr w:type="spellEnd"/>
            <w:r w:rsidRPr="00367BEC">
              <w:rPr>
                <w:rFonts w:ascii="Times New Roman" w:hAnsi="Times New Roman"/>
                <w:color w:val="000000"/>
                <w:sz w:val="20"/>
              </w:rPr>
              <w:t xml:space="preserve"> 2017</w:t>
            </w:r>
          </w:p>
        </w:tc>
        <w:tc>
          <w:tcPr>
            <w:tcW w:w="216" w:type="pct"/>
            <w:tcBorders>
              <w:top w:val="nil"/>
              <w:left w:val="nil"/>
              <w:bottom w:val="nil"/>
              <w:right w:val="nil"/>
            </w:tcBorders>
            <w:shd w:val="clear" w:color="000000" w:fill="FFFFFF"/>
            <w:noWrap/>
            <w:vAlign w:val="bottom"/>
            <w:hideMark/>
          </w:tcPr>
          <w:p w14:paraId="37D5E8D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2451F28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76D29D0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08E004C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1523B59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15FA01E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3328B10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3B1CEBE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5F93E9B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487B078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32DC6FE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4DBEC58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nil"/>
              <w:right w:val="nil"/>
            </w:tcBorders>
            <w:shd w:val="clear" w:color="000000" w:fill="FFFFFF"/>
            <w:noWrap/>
            <w:vAlign w:val="bottom"/>
            <w:hideMark/>
          </w:tcPr>
          <w:p w14:paraId="2AAD354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1E2693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75EC580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4DC133FB" w14:textId="77777777" w:rsidTr="00CF1C1E">
        <w:trPr>
          <w:trHeight w:val="225"/>
        </w:trPr>
        <w:tc>
          <w:tcPr>
            <w:tcW w:w="738" w:type="pct"/>
            <w:tcBorders>
              <w:top w:val="nil"/>
              <w:left w:val="nil"/>
              <w:bottom w:val="nil"/>
              <w:right w:val="nil"/>
            </w:tcBorders>
            <w:shd w:val="clear" w:color="000000" w:fill="FFFFFF"/>
            <w:noWrap/>
            <w:vAlign w:val="bottom"/>
            <w:hideMark/>
          </w:tcPr>
          <w:p w14:paraId="59CFE29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Guillen 2017</w:t>
            </w:r>
          </w:p>
        </w:tc>
        <w:tc>
          <w:tcPr>
            <w:tcW w:w="216" w:type="pct"/>
            <w:tcBorders>
              <w:top w:val="nil"/>
              <w:left w:val="nil"/>
              <w:bottom w:val="nil"/>
              <w:right w:val="nil"/>
            </w:tcBorders>
            <w:shd w:val="clear" w:color="000000" w:fill="FFFFFF"/>
            <w:noWrap/>
            <w:vAlign w:val="bottom"/>
            <w:hideMark/>
          </w:tcPr>
          <w:p w14:paraId="173579E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799256B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7E16062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2DF78F5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0D42CFD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572CB07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687AB00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188" w:type="pct"/>
            <w:tcBorders>
              <w:top w:val="nil"/>
              <w:left w:val="nil"/>
              <w:bottom w:val="nil"/>
              <w:right w:val="nil"/>
            </w:tcBorders>
            <w:shd w:val="clear" w:color="000000" w:fill="FFFFFF"/>
            <w:noWrap/>
            <w:vAlign w:val="bottom"/>
            <w:hideMark/>
          </w:tcPr>
          <w:p w14:paraId="45BEE9F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4823374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0A0D34C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nil"/>
              <w:right w:val="nil"/>
            </w:tcBorders>
            <w:shd w:val="clear" w:color="000000" w:fill="FFFFFF"/>
            <w:noWrap/>
            <w:vAlign w:val="bottom"/>
            <w:hideMark/>
          </w:tcPr>
          <w:p w14:paraId="37AE8BC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3E35818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25B6D3E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 procede</w:t>
            </w:r>
          </w:p>
        </w:tc>
        <w:tc>
          <w:tcPr>
            <w:tcW w:w="362" w:type="pct"/>
            <w:tcBorders>
              <w:top w:val="nil"/>
              <w:left w:val="nil"/>
              <w:bottom w:val="nil"/>
              <w:right w:val="nil"/>
            </w:tcBorders>
            <w:shd w:val="clear" w:color="000000" w:fill="FFFFFF"/>
            <w:noWrap/>
            <w:vAlign w:val="bottom"/>
            <w:hideMark/>
          </w:tcPr>
          <w:p w14:paraId="71EC708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16A4DD0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11B0990E" w14:textId="77777777" w:rsidTr="00CF1C1E">
        <w:trPr>
          <w:trHeight w:val="225"/>
        </w:trPr>
        <w:tc>
          <w:tcPr>
            <w:tcW w:w="738" w:type="pct"/>
            <w:tcBorders>
              <w:top w:val="nil"/>
              <w:left w:val="nil"/>
              <w:bottom w:val="nil"/>
              <w:right w:val="nil"/>
            </w:tcBorders>
            <w:shd w:val="clear" w:color="000000" w:fill="FFFFFF"/>
            <w:noWrap/>
            <w:vAlign w:val="bottom"/>
            <w:hideMark/>
          </w:tcPr>
          <w:p w14:paraId="07F412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Passavanti</w:t>
            </w:r>
            <w:proofErr w:type="spellEnd"/>
            <w:r w:rsidRPr="00367BEC">
              <w:rPr>
                <w:rFonts w:ascii="Times New Roman" w:hAnsi="Times New Roman"/>
                <w:color w:val="000000"/>
                <w:sz w:val="20"/>
              </w:rPr>
              <w:t xml:space="preserve"> 2017</w:t>
            </w:r>
          </w:p>
        </w:tc>
        <w:tc>
          <w:tcPr>
            <w:tcW w:w="216" w:type="pct"/>
            <w:tcBorders>
              <w:top w:val="nil"/>
              <w:left w:val="nil"/>
              <w:bottom w:val="nil"/>
              <w:right w:val="nil"/>
            </w:tcBorders>
            <w:shd w:val="clear" w:color="000000" w:fill="FFFFFF"/>
            <w:noWrap/>
            <w:vAlign w:val="bottom"/>
            <w:hideMark/>
          </w:tcPr>
          <w:p w14:paraId="3975BA8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748259B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47B969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2F00C76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4BEEC1E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21910AE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45B961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589A7C5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39A23E4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203CD82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593C40C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778D12F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nil"/>
              <w:right w:val="nil"/>
            </w:tcBorders>
            <w:shd w:val="clear" w:color="000000" w:fill="FFFFFF"/>
            <w:noWrap/>
            <w:vAlign w:val="bottom"/>
            <w:hideMark/>
          </w:tcPr>
          <w:p w14:paraId="7A1E5CC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 procede</w:t>
            </w:r>
          </w:p>
        </w:tc>
        <w:tc>
          <w:tcPr>
            <w:tcW w:w="362" w:type="pct"/>
            <w:tcBorders>
              <w:top w:val="nil"/>
              <w:left w:val="nil"/>
              <w:bottom w:val="nil"/>
              <w:right w:val="nil"/>
            </w:tcBorders>
            <w:shd w:val="clear" w:color="000000" w:fill="FFFFFF"/>
            <w:noWrap/>
            <w:vAlign w:val="bottom"/>
            <w:hideMark/>
          </w:tcPr>
          <w:p w14:paraId="79DB566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42" w:type="pct"/>
            <w:tcBorders>
              <w:top w:val="nil"/>
              <w:left w:val="nil"/>
              <w:bottom w:val="nil"/>
              <w:right w:val="nil"/>
            </w:tcBorders>
            <w:shd w:val="clear" w:color="000000" w:fill="FFFFFF"/>
            <w:noWrap/>
            <w:vAlign w:val="bottom"/>
            <w:hideMark/>
          </w:tcPr>
          <w:p w14:paraId="6E8F7CB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Regular</w:t>
            </w:r>
          </w:p>
        </w:tc>
      </w:tr>
      <w:tr w:rsidR="002E4D99" w:rsidRPr="00367BEC" w14:paraId="589B9D57" w14:textId="77777777" w:rsidTr="00CF1C1E">
        <w:trPr>
          <w:trHeight w:val="225"/>
        </w:trPr>
        <w:tc>
          <w:tcPr>
            <w:tcW w:w="738" w:type="pct"/>
            <w:tcBorders>
              <w:top w:val="nil"/>
              <w:left w:val="nil"/>
              <w:bottom w:val="nil"/>
              <w:right w:val="nil"/>
            </w:tcBorders>
            <w:shd w:val="clear" w:color="000000" w:fill="FFFFFF"/>
            <w:noWrap/>
            <w:vAlign w:val="bottom"/>
            <w:hideMark/>
          </w:tcPr>
          <w:p w14:paraId="3EEC6B74"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Ueberall</w:t>
            </w:r>
            <w:proofErr w:type="spellEnd"/>
            <w:r w:rsidRPr="00367BEC">
              <w:rPr>
                <w:rFonts w:ascii="Times New Roman" w:hAnsi="Times New Roman"/>
                <w:color w:val="000000"/>
                <w:sz w:val="20"/>
              </w:rPr>
              <w:t xml:space="preserve"> 2016</w:t>
            </w:r>
          </w:p>
        </w:tc>
        <w:tc>
          <w:tcPr>
            <w:tcW w:w="216" w:type="pct"/>
            <w:tcBorders>
              <w:top w:val="nil"/>
              <w:left w:val="nil"/>
              <w:bottom w:val="nil"/>
              <w:right w:val="nil"/>
            </w:tcBorders>
            <w:shd w:val="clear" w:color="000000" w:fill="FFFFFF"/>
            <w:noWrap/>
            <w:vAlign w:val="bottom"/>
            <w:hideMark/>
          </w:tcPr>
          <w:p w14:paraId="0EE311E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3833108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1A0CFE2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7F7FF1F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6A7286F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46B0A3D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018A87D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3A88F11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3295872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2D6E9DE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07ACDD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0DA9C4D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nil"/>
              <w:right w:val="nil"/>
            </w:tcBorders>
            <w:shd w:val="clear" w:color="000000" w:fill="FFFFFF"/>
            <w:noWrap/>
            <w:vAlign w:val="bottom"/>
            <w:hideMark/>
          </w:tcPr>
          <w:p w14:paraId="44F0787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 procede</w:t>
            </w:r>
          </w:p>
        </w:tc>
        <w:tc>
          <w:tcPr>
            <w:tcW w:w="362" w:type="pct"/>
            <w:tcBorders>
              <w:top w:val="nil"/>
              <w:left w:val="nil"/>
              <w:bottom w:val="nil"/>
              <w:right w:val="nil"/>
            </w:tcBorders>
            <w:shd w:val="clear" w:color="000000" w:fill="FFFFFF"/>
            <w:noWrap/>
            <w:vAlign w:val="bottom"/>
            <w:hideMark/>
          </w:tcPr>
          <w:p w14:paraId="584B493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5B43F1A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Regular</w:t>
            </w:r>
          </w:p>
        </w:tc>
      </w:tr>
      <w:tr w:rsidR="002E4D99" w:rsidRPr="00367BEC" w14:paraId="1DC845D8" w14:textId="77777777" w:rsidTr="00CF1C1E">
        <w:trPr>
          <w:trHeight w:val="225"/>
        </w:trPr>
        <w:tc>
          <w:tcPr>
            <w:tcW w:w="738" w:type="pct"/>
            <w:tcBorders>
              <w:top w:val="nil"/>
              <w:left w:val="nil"/>
              <w:bottom w:val="nil"/>
              <w:right w:val="nil"/>
            </w:tcBorders>
            <w:shd w:val="clear" w:color="000000" w:fill="FFFFFF"/>
            <w:noWrap/>
            <w:vAlign w:val="bottom"/>
            <w:hideMark/>
          </w:tcPr>
          <w:p w14:paraId="64EFF97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Samolsky</w:t>
            </w:r>
            <w:proofErr w:type="spellEnd"/>
            <w:r w:rsidRPr="00367BEC">
              <w:rPr>
                <w:rFonts w:ascii="Times New Roman" w:hAnsi="Times New Roman"/>
                <w:color w:val="000000"/>
                <w:sz w:val="20"/>
              </w:rPr>
              <w:t xml:space="preserve"> 2015</w:t>
            </w:r>
          </w:p>
        </w:tc>
        <w:tc>
          <w:tcPr>
            <w:tcW w:w="216" w:type="pct"/>
            <w:tcBorders>
              <w:top w:val="nil"/>
              <w:left w:val="nil"/>
              <w:bottom w:val="nil"/>
              <w:right w:val="nil"/>
            </w:tcBorders>
            <w:shd w:val="clear" w:color="000000" w:fill="FFFFFF"/>
            <w:noWrap/>
            <w:vAlign w:val="bottom"/>
            <w:hideMark/>
          </w:tcPr>
          <w:p w14:paraId="6542CC9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4EAF555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376A6D1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08E897F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5E1B0C4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4EB25A4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2B3D496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6934D8F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2B73731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7" w:type="pct"/>
            <w:tcBorders>
              <w:top w:val="nil"/>
              <w:left w:val="nil"/>
              <w:bottom w:val="nil"/>
              <w:right w:val="nil"/>
            </w:tcBorders>
            <w:shd w:val="clear" w:color="000000" w:fill="FFFFFF"/>
            <w:noWrap/>
            <w:vAlign w:val="bottom"/>
            <w:hideMark/>
          </w:tcPr>
          <w:p w14:paraId="0711FAA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57CA1B0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7F7BE27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4EACB46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29252F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5286F09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373F5DC4" w14:textId="77777777" w:rsidTr="00CF1C1E">
        <w:trPr>
          <w:trHeight w:val="225"/>
        </w:trPr>
        <w:tc>
          <w:tcPr>
            <w:tcW w:w="738" w:type="pct"/>
            <w:tcBorders>
              <w:top w:val="nil"/>
              <w:left w:val="nil"/>
              <w:bottom w:val="nil"/>
              <w:right w:val="nil"/>
            </w:tcBorders>
            <w:shd w:val="clear" w:color="000000" w:fill="FFFFFF"/>
            <w:noWrap/>
            <w:vAlign w:val="bottom"/>
            <w:hideMark/>
          </w:tcPr>
          <w:p w14:paraId="272C2E6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Strick</w:t>
            </w:r>
            <w:proofErr w:type="spellEnd"/>
            <w:r w:rsidRPr="00367BEC">
              <w:rPr>
                <w:rFonts w:ascii="Times New Roman" w:hAnsi="Times New Roman"/>
                <w:color w:val="000000"/>
                <w:sz w:val="20"/>
              </w:rPr>
              <w:t xml:space="preserve"> 2014</w:t>
            </w:r>
          </w:p>
        </w:tc>
        <w:tc>
          <w:tcPr>
            <w:tcW w:w="216" w:type="pct"/>
            <w:tcBorders>
              <w:top w:val="nil"/>
              <w:left w:val="nil"/>
              <w:bottom w:val="nil"/>
              <w:right w:val="nil"/>
            </w:tcBorders>
            <w:shd w:val="clear" w:color="000000" w:fill="FFFFFF"/>
            <w:noWrap/>
            <w:vAlign w:val="bottom"/>
            <w:hideMark/>
          </w:tcPr>
          <w:p w14:paraId="64FD3BC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61EBF02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3368E95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5ACCEBB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027C03B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6AA7E98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46B6127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51F05CB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0D20C1E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3CBA847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5A78BE1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65226C8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74AA328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4061942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7A7D62A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114DC3BD" w14:textId="77777777" w:rsidTr="00CF1C1E">
        <w:trPr>
          <w:trHeight w:val="225"/>
        </w:trPr>
        <w:tc>
          <w:tcPr>
            <w:tcW w:w="738" w:type="pct"/>
            <w:tcBorders>
              <w:top w:val="nil"/>
              <w:left w:val="nil"/>
              <w:bottom w:val="nil"/>
              <w:right w:val="nil"/>
            </w:tcBorders>
            <w:shd w:val="clear" w:color="000000" w:fill="FFFFFF"/>
            <w:noWrap/>
            <w:vAlign w:val="bottom"/>
            <w:hideMark/>
          </w:tcPr>
          <w:p w14:paraId="14FCF6A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Schwittay</w:t>
            </w:r>
            <w:proofErr w:type="spellEnd"/>
            <w:r w:rsidRPr="00367BEC">
              <w:rPr>
                <w:rFonts w:ascii="Times New Roman" w:hAnsi="Times New Roman"/>
                <w:color w:val="000000"/>
                <w:sz w:val="20"/>
              </w:rPr>
              <w:t xml:space="preserve"> 2013</w:t>
            </w:r>
          </w:p>
        </w:tc>
        <w:tc>
          <w:tcPr>
            <w:tcW w:w="216" w:type="pct"/>
            <w:tcBorders>
              <w:top w:val="nil"/>
              <w:left w:val="nil"/>
              <w:bottom w:val="nil"/>
              <w:right w:val="nil"/>
            </w:tcBorders>
            <w:shd w:val="clear" w:color="000000" w:fill="FFFFFF"/>
            <w:noWrap/>
            <w:vAlign w:val="bottom"/>
            <w:hideMark/>
          </w:tcPr>
          <w:p w14:paraId="478F455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5E63672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26783EF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6E15869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4AD9336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099613F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D89D0B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0B19B7D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74AF143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7BA6682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39F67D9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403D6A4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0F228D1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3B8AA14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50596A3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5904F146" w14:textId="77777777" w:rsidTr="00CF1C1E">
        <w:trPr>
          <w:trHeight w:val="225"/>
        </w:trPr>
        <w:tc>
          <w:tcPr>
            <w:tcW w:w="738" w:type="pct"/>
            <w:tcBorders>
              <w:top w:val="nil"/>
              <w:left w:val="nil"/>
              <w:bottom w:val="nil"/>
              <w:right w:val="nil"/>
            </w:tcBorders>
            <w:shd w:val="clear" w:color="000000" w:fill="FFFFFF"/>
            <w:noWrap/>
            <w:vAlign w:val="bottom"/>
            <w:hideMark/>
          </w:tcPr>
          <w:p w14:paraId="6F5ADCC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López 2016</w:t>
            </w:r>
          </w:p>
        </w:tc>
        <w:tc>
          <w:tcPr>
            <w:tcW w:w="216" w:type="pct"/>
            <w:tcBorders>
              <w:top w:val="nil"/>
              <w:left w:val="nil"/>
              <w:bottom w:val="nil"/>
              <w:right w:val="nil"/>
            </w:tcBorders>
            <w:shd w:val="clear" w:color="000000" w:fill="FFFFFF"/>
            <w:noWrap/>
            <w:vAlign w:val="bottom"/>
            <w:hideMark/>
          </w:tcPr>
          <w:p w14:paraId="0BD3FA0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5E2BF2F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5715342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637E225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78F764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45C7274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043A00A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188" w:type="pct"/>
            <w:tcBorders>
              <w:top w:val="nil"/>
              <w:left w:val="nil"/>
              <w:bottom w:val="nil"/>
              <w:right w:val="nil"/>
            </w:tcBorders>
            <w:shd w:val="clear" w:color="000000" w:fill="FFFFFF"/>
            <w:noWrap/>
            <w:vAlign w:val="bottom"/>
            <w:hideMark/>
          </w:tcPr>
          <w:p w14:paraId="4037827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2C952F3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7240B02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nil"/>
              <w:right w:val="nil"/>
            </w:tcBorders>
            <w:shd w:val="clear" w:color="000000" w:fill="FFFFFF"/>
            <w:noWrap/>
            <w:vAlign w:val="bottom"/>
            <w:hideMark/>
          </w:tcPr>
          <w:p w14:paraId="36B2FFA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0C0716D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070325A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1EC7FCF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79414BC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3147B9F1" w14:textId="77777777" w:rsidTr="00CF1C1E">
        <w:trPr>
          <w:trHeight w:val="225"/>
        </w:trPr>
        <w:tc>
          <w:tcPr>
            <w:tcW w:w="738" w:type="pct"/>
            <w:tcBorders>
              <w:top w:val="nil"/>
              <w:left w:val="nil"/>
              <w:bottom w:val="nil"/>
              <w:right w:val="nil"/>
            </w:tcBorders>
            <w:shd w:val="clear" w:color="000000" w:fill="FFFFFF"/>
            <w:noWrap/>
            <w:vAlign w:val="bottom"/>
            <w:hideMark/>
          </w:tcPr>
          <w:p w14:paraId="2DA8FE7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Brunetti 2016</w:t>
            </w:r>
          </w:p>
        </w:tc>
        <w:tc>
          <w:tcPr>
            <w:tcW w:w="216" w:type="pct"/>
            <w:tcBorders>
              <w:top w:val="nil"/>
              <w:left w:val="nil"/>
              <w:bottom w:val="nil"/>
              <w:right w:val="nil"/>
            </w:tcBorders>
            <w:shd w:val="clear" w:color="000000" w:fill="FFFFFF"/>
            <w:noWrap/>
            <w:vAlign w:val="bottom"/>
            <w:hideMark/>
          </w:tcPr>
          <w:p w14:paraId="47380F7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4CB67DC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10043FE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0E14E12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520F6E2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3501190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062A9D2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2BDBB90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275750C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5BC21A4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nil"/>
              <w:right w:val="nil"/>
            </w:tcBorders>
            <w:shd w:val="clear" w:color="000000" w:fill="FFFFFF"/>
            <w:noWrap/>
            <w:vAlign w:val="bottom"/>
            <w:hideMark/>
          </w:tcPr>
          <w:p w14:paraId="40774D5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3BDFE9B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1816C24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 procede</w:t>
            </w:r>
          </w:p>
        </w:tc>
        <w:tc>
          <w:tcPr>
            <w:tcW w:w="362" w:type="pct"/>
            <w:tcBorders>
              <w:top w:val="nil"/>
              <w:left w:val="nil"/>
              <w:bottom w:val="nil"/>
              <w:right w:val="nil"/>
            </w:tcBorders>
            <w:shd w:val="clear" w:color="000000" w:fill="FFFFFF"/>
            <w:noWrap/>
            <w:vAlign w:val="bottom"/>
            <w:hideMark/>
          </w:tcPr>
          <w:p w14:paraId="3C28676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7514929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50B881E7" w14:textId="77777777" w:rsidTr="00CF1C1E">
        <w:trPr>
          <w:trHeight w:val="225"/>
        </w:trPr>
        <w:tc>
          <w:tcPr>
            <w:tcW w:w="738" w:type="pct"/>
            <w:tcBorders>
              <w:top w:val="nil"/>
              <w:left w:val="nil"/>
              <w:bottom w:val="nil"/>
              <w:right w:val="nil"/>
            </w:tcBorders>
            <w:shd w:val="clear" w:color="000000" w:fill="FFFFFF"/>
            <w:noWrap/>
            <w:vAlign w:val="bottom"/>
            <w:hideMark/>
          </w:tcPr>
          <w:p w14:paraId="27B5105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Coluzzi</w:t>
            </w:r>
            <w:proofErr w:type="spellEnd"/>
            <w:r w:rsidRPr="00367BEC">
              <w:rPr>
                <w:rFonts w:ascii="Times New Roman" w:hAnsi="Times New Roman"/>
                <w:color w:val="000000"/>
                <w:sz w:val="20"/>
              </w:rPr>
              <w:t xml:space="preserve"> 2015</w:t>
            </w:r>
          </w:p>
        </w:tc>
        <w:tc>
          <w:tcPr>
            <w:tcW w:w="216" w:type="pct"/>
            <w:tcBorders>
              <w:top w:val="nil"/>
              <w:left w:val="nil"/>
              <w:bottom w:val="nil"/>
              <w:right w:val="nil"/>
            </w:tcBorders>
            <w:shd w:val="clear" w:color="000000" w:fill="FFFFFF"/>
            <w:noWrap/>
            <w:vAlign w:val="bottom"/>
            <w:hideMark/>
          </w:tcPr>
          <w:p w14:paraId="6841BA5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3C97884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1C540DB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5F9F245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7741BE9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3038E43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11990C7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377F36C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2666119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34BDB3C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6CA5F48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35A23A0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2B9902E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2810072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09EFD48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Regular</w:t>
            </w:r>
          </w:p>
        </w:tc>
      </w:tr>
      <w:tr w:rsidR="002E4D99" w:rsidRPr="00367BEC" w14:paraId="2290747F" w14:textId="77777777" w:rsidTr="00CF1C1E">
        <w:trPr>
          <w:trHeight w:val="225"/>
        </w:trPr>
        <w:tc>
          <w:tcPr>
            <w:tcW w:w="738" w:type="pct"/>
            <w:tcBorders>
              <w:top w:val="nil"/>
              <w:left w:val="nil"/>
              <w:bottom w:val="nil"/>
              <w:right w:val="nil"/>
            </w:tcBorders>
            <w:shd w:val="clear" w:color="000000" w:fill="FFFFFF"/>
            <w:noWrap/>
            <w:vAlign w:val="bottom"/>
            <w:hideMark/>
          </w:tcPr>
          <w:p w14:paraId="515C4C5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Schwenke</w:t>
            </w:r>
            <w:proofErr w:type="spellEnd"/>
            <w:r w:rsidRPr="00367BEC">
              <w:rPr>
                <w:rFonts w:ascii="Times New Roman" w:hAnsi="Times New Roman"/>
                <w:color w:val="000000"/>
                <w:sz w:val="20"/>
              </w:rPr>
              <w:t xml:space="preserve"> 2015</w:t>
            </w:r>
          </w:p>
        </w:tc>
        <w:tc>
          <w:tcPr>
            <w:tcW w:w="216" w:type="pct"/>
            <w:tcBorders>
              <w:top w:val="nil"/>
              <w:left w:val="nil"/>
              <w:bottom w:val="nil"/>
              <w:right w:val="nil"/>
            </w:tcBorders>
            <w:shd w:val="clear" w:color="000000" w:fill="FFFFFF"/>
            <w:noWrap/>
            <w:vAlign w:val="bottom"/>
            <w:hideMark/>
          </w:tcPr>
          <w:p w14:paraId="5CEA76A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29D5FF71"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11B55CA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75B155C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2F339F16"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6A6ADE0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20D517A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29FA0CD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78CC128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47F0F27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01924BB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64709EA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4F8426D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1BD3032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092D1BC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22227653" w14:textId="77777777" w:rsidTr="00CF1C1E">
        <w:trPr>
          <w:trHeight w:val="225"/>
        </w:trPr>
        <w:tc>
          <w:tcPr>
            <w:tcW w:w="738" w:type="pct"/>
            <w:tcBorders>
              <w:top w:val="nil"/>
              <w:left w:val="nil"/>
              <w:bottom w:val="nil"/>
              <w:right w:val="nil"/>
            </w:tcBorders>
            <w:shd w:val="clear" w:color="000000" w:fill="FFFFFF"/>
            <w:noWrap/>
            <w:vAlign w:val="bottom"/>
            <w:hideMark/>
          </w:tcPr>
          <w:p w14:paraId="1AD1EAA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proofErr w:type="spellStart"/>
            <w:r w:rsidRPr="00367BEC">
              <w:rPr>
                <w:rFonts w:ascii="Times New Roman" w:hAnsi="Times New Roman"/>
                <w:color w:val="000000"/>
                <w:sz w:val="20"/>
              </w:rPr>
              <w:t>Schikowski</w:t>
            </w:r>
            <w:proofErr w:type="spellEnd"/>
            <w:r w:rsidRPr="00367BEC">
              <w:rPr>
                <w:rFonts w:ascii="Times New Roman" w:hAnsi="Times New Roman"/>
                <w:color w:val="000000"/>
                <w:sz w:val="20"/>
              </w:rPr>
              <w:t xml:space="preserve"> 2015</w:t>
            </w:r>
          </w:p>
        </w:tc>
        <w:tc>
          <w:tcPr>
            <w:tcW w:w="216" w:type="pct"/>
            <w:tcBorders>
              <w:top w:val="nil"/>
              <w:left w:val="nil"/>
              <w:bottom w:val="nil"/>
              <w:right w:val="nil"/>
            </w:tcBorders>
            <w:shd w:val="clear" w:color="000000" w:fill="FFFFFF"/>
            <w:noWrap/>
            <w:vAlign w:val="bottom"/>
            <w:hideMark/>
          </w:tcPr>
          <w:p w14:paraId="0222E8B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nil"/>
              <w:right w:val="nil"/>
            </w:tcBorders>
            <w:shd w:val="clear" w:color="000000" w:fill="FFFFFF"/>
            <w:noWrap/>
            <w:vAlign w:val="bottom"/>
            <w:hideMark/>
          </w:tcPr>
          <w:p w14:paraId="1045D6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nil"/>
              <w:right w:val="nil"/>
            </w:tcBorders>
            <w:shd w:val="clear" w:color="000000" w:fill="FFFFFF"/>
            <w:noWrap/>
            <w:vAlign w:val="bottom"/>
            <w:hideMark/>
          </w:tcPr>
          <w:p w14:paraId="62324F79"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nil"/>
              <w:right w:val="nil"/>
            </w:tcBorders>
            <w:shd w:val="clear" w:color="000000" w:fill="FFFFFF"/>
            <w:noWrap/>
            <w:vAlign w:val="bottom"/>
            <w:hideMark/>
          </w:tcPr>
          <w:p w14:paraId="3F1FCB1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nil"/>
              <w:right w:val="nil"/>
            </w:tcBorders>
            <w:shd w:val="clear" w:color="000000" w:fill="FFFFFF"/>
            <w:noWrap/>
            <w:vAlign w:val="bottom"/>
            <w:hideMark/>
          </w:tcPr>
          <w:p w14:paraId="41C028E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nil"/>
              <w:right w:val="nil"/>
            </w:tcBorders>
            <w:shd w:val="clear" w:color="000000" w:fill="FFFFFF"/>
            <w:noWrap/>
            <w:vAlign w:val="bottom"/>
            <w:hideMark/>
          </w:tcPr>
          <w:p w14:paraId="03EDC1B8"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32D723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nil"/>
              <w:right w:val="nil"/>
            </w:tcBorders>
            <w:shd w:val="clear" w:color="000000" w:fill="FFFFFF"/>
            <w:noWrap/>
            <w:vAlign w:val="bottom"/>
            <w:hideMark/>
          </w:tcPr>
          <w:p w14:paraId="118418B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nil"/>
              <w:right w:val="nil"/>
            </w:tcBorders>
            <w:shd w:val="clear" w:color="000000" w:fill="FFFFFF"/>
            <w:noWrap/>
            <w:vAlign w:val="bottom"/>
            <w:hideMark/>
          </w:tcPr>
          <w:p w14:paraId="13B5628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nil"/>
              <w:right w:val="nil"/>
            </w:tcBorders>
            <w:shd w:val="clear" w:color="000000" w:fill="FFFFFF"/>
            <w:noWrap/>
            <w:vAlign w:val="bottom"/>
            <w:hideMark/>
          </w:tcPr>
          <w:p w14:paraId="3090948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nil"/>
              <w:right w:val="nil"/>
            </w:tcBorders>
            <w:shd w:val="clear" w:color="000000" w:fill="FFFFFF"/>
            <w:noWrap/>
            <w:vAlign w:val="bottom"/>
            <w:hideMark/>
          </w:tcPr>
          <w:p w14:paraId="359FCD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4E8B224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38" w:type="pct"/>
            <w:tcBorders>
              <w:top w:val="nil"/>
              <w:left w:val="nil"/>
              <w:bottom w:val="nil"/>
              <w:right w:val="nil"/>
            </w:tcBorders>
            <w:shd w:val="clear" w:color="000000" w:fill="FFFFFF"/>
            <w:noWrap/>
            <w:vAlign w:val="bottom"/>
            <w:hideMark/>
          </w:tcPr>
          <w:p w14:paraId="4AAFB9FD"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nil"/>
              <w:right w:val="nil"/>
            </w:tcBorders>
            <w:shd w:val="clear" w:color="000000" w:fill="FFFFFF"/>
            <w:noWrap/>
            <w:vAlign w:val="bottom"/>
            <w:hideMark/>
          </w:tcPr>
          <w:p w14:paraId="527F0CD4"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nil"/>
              <w:right w:val="nil"/>
            </w:tcBorders>
            <w:shd w:val="clear" w:color="000000" w:fill="FFFFFF"/>
            <w:noWrap/>
            <w:vAlign w:val="bottom"/>
            <w:hideMark/>
          </w:tcPr>
          <w:p w14:paraId="6F1C0CC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r w:rsidR="002E4D99" w:rsidRPr="00367BEC" w14:paraId="60A2D13E" w14:textId="77777777" w:rsidTr="00CF1C1E">
        <w:trPr>
          <w:trHeight w:val="225"/>
        </w:trPr>
        <w:tc>
          <w:tcPr>
            <w:tcW w:w="738" w:type="pct"/>
            <w:tcBorders>
              <w:top w:val="nil"/>
              <w:left w:val="nil"/>
              <w:bottom w:val="single" w:sz="4" w:space="0" w:color="auto"/>
              <w:right w:val="nil"/>
            </w:tcBorders>
            <w:shd w:val="clear" w:color="000000" w:fill="FFFFFF"/>
            <w:noWrap/>
            <w:vAlign w:val="bottom"/>
            <w:hideMark/>
          </w:tcPr>
          <w:p w14:paraId="1F220DC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Mercadante 2012</w:t>
            </w:r>
          </w:p>
        </w:tc>
        <w:tc>
          <w:tcPr>
            <w:tcW w:w="216" w:type="pct"/>
            <w:tcBorders>
              <w:top w:val="nil"/>
              <w:left w:val="nil"/>
              <w:bottom w:val="single" w:sz="4" w:space="0" w:color="auto"/>
              <w:right w:val="nil"/>
            </w:tcBorders>
            <w:shd w:val="clear" w:color="000000" w:fill="FFFFFF"/>
            <w:noWrap/>
            <w:vAlign w:val="bottom"/>
            <w:hideMark/>
          </w:tcPr>
          <w:p w14:paraId="7876FA35"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16" w:type="pct"/>
            <w:tcBorders>
              <w:top w:val="nil"/>
              <w:left w:val="nil"/>
              <w:bottom w:val="single" w:sz="4" w:space="0" w:color="auto"/>
              <w:right w:val="nil"/>
            </w:tcBorders>
            <w:shd w:val="clear" w:color="000000" w:fill="FFFFFF"/>
            <w:noWrap/>
            <w:vAlign w:val="bottom"/>
            <w:hideMark/>
          </w:tcPr>
          <w:p w14:paraId="0769B39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single" w:sz="4" w:space="0" w:color="auto"/>
              <w:right w:val="nil"/>
            </w:tcBorders>
            <w:shd w:val="clear" w:color="000000" w:fill="FFFFFF"/>
            <w:noWrap/>
            <w:vAlign w:val="bottom"/>
            <w:hideMark/>
          </w:tcPr>
          <w:p w14:paraId="7D1ACCA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62" w:type="pct"/>
            <w:tcBorders>
              <w:top w:val="nil"/>
              <w:left w:val="nil"/>
              <w:bottom w:val="single" w:sz="4" w:space="0" w:color="auto"/>
              <w:right w:val="nil"/>
            </w:tcBorders>
            <w:shd w:val="clear" w:color="000000" w:fill="FFFFFF"/>
            <w:noWrap/>
            <w:vAlign w:val="bottom"/>
            <w:hideMark/>
          </w:tcPr>
          <w:p w14:paraId="082A93C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216" w:type="pct"/>
            <w:tcBorders>
              <w:top w:val="nil"/>
              <w:left w:val="nil"/>
              <w:bottom w:val="single" w:sz="4" w:space="0" w:color="auto"/>
              <w:right w:val="nil"/>
            </w:tcBorders>
            <w:shd w:val="clear" w:color="000000" w:fill="FFFFFF"/>
            <w:noWrap/>
            <w:vAlign w:val="bottom"/>
            <w:hideMark/>
          </w:tcPr>
          <w:p w14:paraId="647473F0"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16" w:type="pct"/>
            <w:tcBorders>
              <w:top w:val="nil"/>
              <w:left w:val="nil"/>
              <w:bottom w:val="single" w:sz="4" w:space="0" w:color="auto"/>
              <w:right w:val="nil"/>
            </w:tcBorders>
            <w:shd w:val="clear" w:color="000000" w:fill="FFFFFF"/>
            <w:noWrap/>
            <w:vAlign w:val="bottom"/>
            <w:hideMark/>
          </w:tcPr>
          <w:p w14:paraId="6290A9EF"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single" w:sz="4" w:space="0" w:color="auto"/>
              <w:right w:val="nil"/>
            </w:tcBorders>
            <w:shd w:val="clear" w:color="000000" w:fill="FFFFFF"/>
            <w:noWrap/>
            <w:vAlign w:val="bottom"/>
            <w:hideMark/>
          </w:tcPr>
          <w:p w14:paraId="62D4174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188" w:type="pct"/>
            <w:tcBorders>
              <w:top w:val="nil"/>
              <w:left w:val="nil"/>
              <w:bottom w:val="single" w:sz="4" w:space="0" w:color="auto"/>
              <w:right w:val="nil"/>
            </w:tcBorders>
            <w:shd w:val="clear" w:color="000000" w:fill="FFFFFF"/>
            <w:noWrap/>
            <w:vAlign w:val="bottom"/>
            <w:hideMark/>
          </w:tcPr>
          <w:p w14:paraId="7D8EF13C"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45" w:type="pct"/>
            <w:tcBorders>
              <w:top w:val="nil"/>
              <w:left w:val="nil"/>
              <w:bottom w:val="single" w:sz="4" w:space="0" w:color="auto"/>
              <w:right w:val="nil"/>
            </w:tcBorders>
            <w:shd w:val="clear" w:color="000000" w:fill="FFFFFF"/>
            <w:noWrap/>
            <w:vAlign w:val="bottom"/>
            <w:hideMark/>
          </w:tcPr>
          <w:p w14:paraId="6FC98C32"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No/SD</w:t>
            </w:r>
          </w:p>
        </w:tc>
        <w:tc>
          <w:tcPr>
            <w:tcW w:w="237" w:type="pct"/>
            <w:tcBorders>
              <w:top w:val="nil"/>
              <w:left w:val="nil"/>
              <w:bottom w:val="single" w:sz="4" w:space="0" w:color="auto"/>
              <w:right w:val="nil"/>
            </w:tcBorders>
            <w:shd w:val="clear" w:color="000000" w:fill="FFFFFF"/>
            <w:noWrap/>
            <w:vAlign w:val="bottom"/>
            <w:hideMark/>
          </w:tcPr>
          <w:p w14:paraId="22144EAE"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238" w:type="pct"/>
            <w:tcBorders>
              <w:top w:val="nil"/>
              <w:left w:val="nil"/>
              <w:bottom w:val="single" w:sz="4" w:space="0" w:color="auto"/>
              <w:right w:val="nil"/>
            </w:tcBorders>
            <w:shd w:val="clear" w:color="000000" w:fill="FFFFFF"/>
            <w:noWrap/>
            <w:vAlign w:val="bottom"/>
            <w:hideMark/>
          </w:tcPr>
          <w:p w14:paraId="001B2E1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362" w:type="pct"/>
            <w:tcBorders>
              <w:top w:val="nil"/>
              <w:left w:val="nil"/>
              <w:bottom w:val="single" w:sz="4" w:space="0" w:color="auto"/>
              <w:right w:val="nil"/>
            </w:tcBorders>
            <w:shd w:val="clear" w:color="000000" w:fill="FFFFFF"/>
            <w:noWrap/>
            <w:vAlign w:val="bottom"/>
            <w:hideMark/>
          </w:tcPr>
          <w:p w14:paraId="2DC33F9B"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No</w:t>
            </w:r>
          </w:p>
        </w:tc>
        <w:tc>
          <w:tcPr>
            <w:tcW w:w="238" w:type="pct"/>
            <w:tcBorders>
              <w:top w:val="nil"/>
              <w:left w:val="nil"/>
              <w:bottom w:val="single" w:sz="4" w:space="0" w:color="auto"/>
              <w:right w:val="nil"/>
            </w:tcBorders>
            <w:shd w:val="clear" w:color="000000" w:fill="FFFFFF"/>
            <w:noWrap/>
            <w:vAlign w:val="bottom"/>
            <w:hideMark/>
          </w:tcPr>
          <w:p w14:paraId="366BF9B3"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Sí</w:t>
            </w:r>
          </w:p>
        </w:tc>
        <w:tc>
          <w:tcPr>
            <w:tcW w:w="362" w:type="pct"/>
            <w:tcBorders>
              <w:top w:val="nil"/>
              <w:left w:val="nil"/>
              <w:bottom w:val="single" w:sz="4" w:space="0" w:color="auto"/>
              <w:right w:val="nil"/>
            </w:tcBorders>
            <w:shd w:val="clear" w:color="000000" w:fill="FFFFFF"/>
            <w:noWrap/>
            <w:vAlign w:val="bottom"/>
            <w:hideMark/>
          </w:tcPr>
          <w:p w14:paraId="67570877"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NN/SD</w:t>
            </w:r>
          </w:p>
        </w:tc>
        <w:tc>
          <w:tcPr>
            <w:tcW w:w="342" w:type="pct"/>
            <w:tcBorders>
              <w:top w:val="nil"/>
              <w:left w:val="nil"/>
              <w:bottom w:val="single" w:sz="4" w:space="0" w:color="auto"/>
              <w:right w:val="nil"/>
            </w:tcBorders>
            <w:shd w:val="clear" w:color="000000" w:fill="FFFFFF"/>
            <w:noWrap/>
            <w:vAlign w:val="bottom"/>
            <w:hideMark/>
          </w:tcPr>
          <w:p w14:paraId="10EC9F2A" w14:textId="77777777" w:rsidR="002E4D99" w:rsidRPr="00367BEC" w:rsidRDefault="002E4D99" w:rsidP="00CF1C1E">
            <w:pPr>
              <w:spacing w:after="0" w:line="240" w:lineRule="auto"/>
              <w:jc w:val="center"/>
              <w:rPr>
                <w:rFonts w:ascii="Times New Roman" w:eastAsia="Times New Roman" w:hAnsi="Times New Roman" w:cs="Times New Roman"/>
                <w:color w:val="000000"/>
                <w:sz w:val="20"/>
                <w:szCs w:val="20"/>
              </w:rPr>
            </w:pPr>
            <w:r w:rsidRPr="00367BEC">
              <w:rPr>
                <w:rFonts w:ascii="Times New Roman" w:hAnsi="Times New Roman"/>
                <w:color w:val="000000"/>
                <w:sz w:val="20"/>
              </w:rPr>
              <w:t>Malo</w:t>
            </w:r>
          </w:p>
        </w:tc>
      </w:tr>
    </w:tbl>
    <w:p w14:paraId="61422032" w14:textId="77777777" w:rsidR="002E4D99" w:rsidRPr="00367BEC" w:rsidRDefault="002E4D99" w:rsidP="002E4D99">
      <w:pPr>
        <w:spacing w:after="0" w:line="240" w:lineRule="auto"/>
        <w:jc w:val="both"/>
        <w:rPr>
          <w:rFonts w:ascii="Times New Roman" w:hAnsi="Times New Roman" w:cs="Times New Roman"/>
          <w:b/>
          <w:bCs/>
          <w:sz w:val="16"/>
          <w:szCs w:val="16"/>
        </w:rPr>
      </w:pPr>
    </w:p>
    <w:p w14:paraId="40DA14DA" w14:textId="40BF8942" w:rsidR="002E4D99" w:rsidRPr="00367BEC" w:rsidRDefault="002E4D99" w:rsidP="002E4D99">
      <w:pPr>
        <w:spacing w:after="0" w:line="240" w:lineRule="auto"/>
        <w:jc w:val="both"/>
        <w:rPr>
          <w:rFonts w:ascii="Times New Roman" w:hAnsi="Times New Roman" w:cs="Times New Roman"/>
          <w:sz w:val="20"/>
          <w:szCs w:val="20"/>
        </w:rPr>
      </w:pPr>
      <w:r w:rsidRPr="00367BEC">
        <w:rPr>
          <w:rFonts w:ascii="Times New Roman" w:hAnsi="Times New Roman"/>
          <w:b/>
          <w:sz w:val="20"/>
        </w:rPr>
        <w:t xml:space="preserve">Abreviaturas: </w:t>
      </w:r>
      <w:r w:rsidR="00AB7474" w:rsidRPr="00367BEC">
        <w:rPr>
          <w:rFonts w:ascii="Times New Roman" w:hAnsi="Times New Roman"/>
          <w:sz w:val="20"/>
        </w:rPr>
        <w:t xml:space="preserve">NN (no notificado), </w:t>
      </w:r>
      <w:r w:rsidRPr="00367BEC">
        <w:rPr>
          <w:rFonts w:ascii="Times New Roman" w:hAnsi="Times New Roman"/>
          <w:sz w:val="20"/>
        </w:rPr>
        <w:t xml:space="preserve">P (pregunta), SD (sin determinar) </w:t>
      </w:r>
      <w:r w:rsidRPr="00367BEC">
        <w:rPr>
          <w:rFonts w:ascii="Times New Roman" w:hAnsi="Times New Roman"/>
          <w:b/>
          <w:sz w:val="20"/>
        </w:rPr>
        <w:t>P1.</w:t>
      </w:r>
      <w:r w:rsidRPr="00367BEC">
        <w:rPr>
          <w:rFonts w:ascii="Times New Roman" w:hAnsi="Times New Roman"/>
          <w:sz w:val="20"/>
        </w:rPr>
        <w:t xml:space="preserve"> ¿Se expresó claramente la finalidad o el objetivo de la investigación en este artículo? </w:t>
      </w:r>
      <w:r w:rsidRPr="00367BEC">
        <w:rPr>
          <w:rFonts w:ascii="Times New Roman" w:hAnsi="Times New Roman"/>
          <w:b/>
          <w:sz w:val="20"/>
        </w:rPr>
        <w:t>P2.</w:t>
      </w:r>
      <w:r w:rsidRPr="00367BEC">
        <w:rPr>
          <w:rFonts w:ascii="Times New Roman" w:hAnsi="Times New Roman"/>
          <w:sz w:val="20"/>
        </w:rPr>
        <w:t xml:space="preserve"> ¿Se especificó y definió claramente la población del estudio? </w:t>
      </w:r>
      <w:r w:rsidRPr="00367BEC">
        <w:rPr>
          <w:rFonts w:ascii="Times New Roman" w:hAnsi="Times New Roman"/>
          <w:b/>
          <w:sz w:val="20"/>
        </w:rPr>
        <w:t>P3.</w:t>
      </w:r>
      <w:r w:rsidRPr="00367BEC">
        <w:rPr>
          <w:rFonts w:ascii="Times New Roman" w:hAnsi="Times New Roman"/>
          <w:sz w:val="20"/>
        </w:rPr>
        <w:t xml:space="preserve"> ¿La tasa de participación de las personas elegibles fue al menos del 50 %? </w:t>
      </w:r>
      <w:r w:rsidRPr="00367BEC">
        <w:rPr>
          <w:rFonts w:ascii="Times New Roman" w:hAnsi="Times New Roman"/>
          <w:b/>
          <w:sz w:val="20"/>
        </w:rPr>
        <w:t>P4.</w:t>
      </w:r>
      <w:r w:rsidRPr="00367BEC">
        <w:rPr>
          <w:rFonts w:ascii="Times New Roman" w:hAnsi="Times New Roman"/>
          <w:sz w:val="20"/>
        </w:rPr>
        <w:t xml:space="preserve"> ¿Todos los participantes fueron seleccionados o reclutados de la misma población o de poblaciones similares (incluido el mismo periodo de tiempo)? ¿Se preespecificaron los criterios de inclusión y exclusión para participar en el estudio y se aplicaron de manera uniforme a todos los participantes? </w:t>
      </w:r>
      <w:r w:rsidRPr="00367BEC">
        <w:rPr>
          <w:rFonts w:ascii="Times New Roman" w:hAnsi="Times New Roman"/>
          <w:b/>
          <w:sz w:val="20"/>
        </w:rPr>
        <w:t>P5.</w:t>
      </w:r>
      <w:r w:rsidRPr="00367BEC">
        <w:rPr>
          <w:rFonts w:ascii="Times New Roman" w:hAnsi="Times New Roman"/>
          <w:sz w:val="20"/>
        </w:rPr>
        <w:t xml:space="preserve"> ¿Se proporcionaron una justificación del tamaño de la muestra, una descripción de la potencia o estimaciones de la varianza y el efecto? </w:t>
      </w:r>
      <w:r w:rsidRPr="00367BEC">
        <w:rPr>
          <w:rFonts w:ascii="Times New Roman" w:hAnsi="Times New Roman"/>
          <w:b/>
          <w:sz w:val="20"/>
        </w:rPr>
        <w:t>P6.</w:t>
      </w:r>
      <w:r w:rsidRPr="00367BEC">
        <w:rPr>
          <w:rFonts w:ascii="Times New Roman" w:hAnsi="Times New Roman"/>
          <w:sz w:val="20"/>
        </w:rPr>
        <w:t xml:space="preserve"> Para los análisis de este artículo, ¿se midieron las exposiciones de interés antes de que se midieran los criterios de valoración? </w:t>
      </w:r>
      <w:r w:rsidRPr="00367BEC">
        <w:rPr>
          <w:rFonts w:ascii="Times New Roman" w:hAnsi="Times New Roman"/>
          <w:b/>
          <w:sz w:val="20"/>
        </w:rPr>
        <w:t>P7.</w:t>
      </w:r>
      <w:r w:rsidRPr="00367BEC">
        <w:rPr>
          <w:rFonts w:ascii="Times New Roman" w:hAnsi="Times New Roman"/>
          <w:sz w:val="20"/>
        </w:rPr>
        <w:t xml:space="preserve"> ¿Fue suficiente el marco de tiempo para que uno pudiera esperar razonablemente ver una asociación entre la exposición y el resultado, si la hubiera? </w:t>
      </w:r>
      <w:r w:rsidRPr="00367BEC">
        <w:rPr>
          <w:rFonts w:ascii="Times New Roman" w:hAnsi="Times New Roman"/>
          <w:b/>
          <w:sz w:val="20"/>
        </w:rPr>
        <w:t>P8.</w:t>
      </w:r>
      <w:r w:rsidRPr="00367BEC">
        <w:rPr>
          <w:rFonts w:ascii="Times New Roman" w:hAnsi="Times New Roman"/>
          <w:sz w:val="20"/>
        </w:rPr>
        <w:t xml:space="preserve"> Para las exposiciones que pueden variar en cantidad o grado, ¿en el estudio se analizaron diferentes grados de exposición en relación con el criterio de valoración (</w:t>
      </w:r>
      <w:r w:rsidR="003E0663">
        <w:rPr>
          <w:rFonts w:ascii="Times New Roman" w:hAnsi="Times New Roman"/>
          <w:sz w:val="20"/>
        </w:rPr>
        <w:t>p. ej.</w:t>
      </w:r>
      <w:r w:rsidRPr="00367BEC">
        <w:rPr>
          <w:rFonts w:ascii="Times New Roman" w:hAnsi="Times New Roman"/>
          <w:sz w:val="20"/>
        </w:rPr>
        <w:t xml:space="preserve">, categorías de exposición o exposición medida como variable continua)? </w:t>
      </w:r>
      <w:r w:rsidRPr="00367BEC">
        <w:rPr>
          <w:rFonts w:ascii="Times New Roman" w:hAnsi="Times New Roman"/>
          <w:b/>
          <w:sz w:val="20"/>
        </w:rPr>
        <w:t>P9.</w:t>
      </w:r>
      <w:r w:rsidRPr="00367BEC">
        <w:rPr>
          <w:rFonts w:ascii="Times New Roman" w:hAnsi="Times New Roman"/>
          <w:sz w:val="20"/>
        </w:rPr>
        <w:t xml:space="preserve"> ¿Las medidas de exposición (variables independientes) estaban claramente definidas, eran válidas, fiables y se implementaron de manera uniforme en todos los participantes del estudio? </w:t>
      </w:r>
      <w:r w:rsidRPr="00367BEC">
        <w:rPr>
          <w:rFonts w:ascii="Times New Roman" w:hAnsi="Times New Roman"/>
          <w:b/>
          <w:sz w:val="20"/>
        </w:rPr>
        <w:t>P10.</w:t>
      </w:r>
      <w:r w:rsidRPr="00367BEC">
        <w:rPr>
          <w:rFonts w:ascii="Times New Roman" w:hAnsi="Times New Roman"/>
          <w:sz w:val="20"/>
        </w:rPr>
        <w:t xml:space="preserve"> ¿Las exposiciones se evaluaron más de una vez a lo largo del tiempo? </w:t>
      </w:r>
      <w:r w:rsidRPr="00367BEC">
        <w:rPr>
          <w:rFonts w:ascii="Times New Roman" w:hAnsi="Times New Roman"/>
          <w:b/>
          <w:sz w:val="20"/>
        </w:rPr>
        <w:t>P11.</w:t>
      </w:r>
      <w:r w:rsidRPr="00367BEC">
        <w:rPr>
          <w:rFonts w:ascii="Times New Roman" w:hAnsi="Times New Roman"/>
          <w:sz w:val="20"/>
        </w:rPr>
        <w:t xml:space="preserve"> ¿Los criterios de valoración (variables dependientes) estaban claramente definidos, eran válidos, fiables y se implementaron de manera uniforme en todos los participantes del estudio? </w:t>
      </w:r>
      <w:r w:rsidRPr="00367BEC">
        <w:rPr>
          <w:rFonts w:ascii="Times New Roman" w:hAnsi="Times New Roman"/>
          <w:b/>
          <w:sz w:val="20"/>
        </w:rPr>
        <w:t>P12.</w:t>
      </w:r>
      <w:r w:rsidRPr="00367BEC">
        <w:rPr>
          <w:rFonts w:ascii="Times New Roman" w:hAnsi="Times New Roman"/>
          <w:sz w:val="20"/>
        </w:rPr>
        <w:t xml:space="preserve"> ¿A los encargados de evaluar los criterios de valoración se les ocultó el estado de exposición de los participantes? </w:t>
      </w:r>
      <w:r w:rsidRPr="00367BEC">
        <w:rPr>
          <w:rFonts w:ascii="Times New Roman" w:hAnsi="Times New Roman"/>
          <w:b/>
          <w:sz w:val="20"/>
        </w:rPr>
        <w:t>P13.</w:t>
      </w:r>
      <w:r w:rsidRPr="00367BEC">
        <w:rPr>
          <w:rFonts w:ascii="Times New Roman" w:hAnsi="Times New Roman"/>
          <w:sz w:val="20"/>
        </w:rPr>
        <w:t xml:space="preserve"> ¿Las pérdidas durante el seguimiento después del inicio del estudio fueron del 20 % o menos? </w:t>
      </w:r>
      <w:r w:rsidRPr="00367BEC">
        <w:rPr>
          <w:rFonts w:ascii="Times New Roman" w:hAnsi="Times New Roman"/>
          <w:b/>
          <w:sz w:val="20"/>
        </w:rPr>
        <w:t>P14.</w:t>
      </w:r>
      <w:r w:rsidRPr="00367BEC">
        <w:rPr>
          <w:rFonts w:ascii="Times New Roman" w:hAnsi="Times New Roman"/>
          <w:sz w:val="20"/>
        </w:rPr>
        <w:t xml:space="preserve"> ¿Se midieron y ajustaron estadísticamente las posibles variables de confusión clave por su impacto en la relación entre exposición y resultado?</w:t>
      </w:r>
    </w:p>
    <w:p w14:paraId="7826821A" w14:textId="43572350" w:rsidR="002E4D99" w:rsidRPr="00367BEC" w:rsidRDefault="002E4D99">
      <w:pPr>
        <w:rPr>
          <w:rFonts w:ascii="Times New Roman" w:hAnsi="Times New Roman" w:cs="Times New Roman"/>
          <w:bCs/>
        </w:rPr>
      </w:pPr>
      <w:r w:rsidRPr="00367BEC">
        <w:br w:type="page"/>
      </w:r>
    </w:p>
    <w:p w14:paraId="4BFE9E21" w14:textId="77777777" w:rsidR="002E4D99" w:rsidRPr="00367BEC" w:rsidRDefault="002E4D99" w:rsidP="00ED2C50">
      <w:pPr>
        <w:spacing w:after="0" w:line="360" w:lineRule="auto"/>
        <w:jc w:val="both"/>
        <w:rPr>
          <w:rFonts w:ascii="Times New Roman" w:hAnsi="Times New Roman" w:cs="Times New Roman"/>
          <w:bCs/>
        </w:rPr>
        <w:sectPr w:rsidR="002E4D99" w:rsidRPr="00367BEC" w:rsidSect="00CF1C1E">
          <w:pgSz w:w="16838" w:h="11906" w:orient="landscape"/>
          <w:pgMar w:top="1701" w:right="4080" w:bottom="1701" w:left="1417" w:header="708" w:footer="708" w:gutter="0"/>
          <w:cols w:space="708"/>
          <w:docGrid w:linePitch="360"/>
        </w:sectPr>
      </w:pPr>
    </w:p>
    <w:p w14:paraId="2457BEC9" w14:textId="77777777" w:rsidR="002E4D99" w:rsidRPr="00367BEC" w:rsidRDefault="002E4D99" w:rsidP="002E4D99">
      <w:pPr>
        <w:spacing w:after="0" w:line="360" w:lineRule="auto"/>
        <w:rPr>
          <w:rFonts w:ascii="Times New Roman" w:hAnsi="Times New Roman" w:cs="Times New Roman"/>
        </w:rPr>
      </w:pPr>
      <w:r w:rsidRPr="00367BEC">
        <w:rPr>
          <w:rFonts w:ascii="Times New Roman" w:hAnsi="Times New Roman"/>
          <w:b/>
        </w:rPr>
        <w:lastRenderedPageBreak/>
        <w:t xml:space="preserve">Apéndice 1. </w:t>
      </w:r>
      <w:r w:rsidRPr="00367BEC">
        <w:rPr>
          <w:rFonts w:ascii="Times New Roman" w:hAnsi="Times New Roman"/>
        </w:rPr>
        <w:t>Estrategia de búsqueda</w:t>
      </w:r>
    </w:p>
    <w:p w14:paraId="553EF99D" w14:textId="77777777" w:rsidR="002E4D99" w:rsidRPr="00367BEC" w:rsidRDefault="002E4D99" w:rsidP="002E4D99">
      <w:pPr>
        <w:spacing w:after="0" w:line="360" w:lineRule="auto"/>
        <w:jc w:val="both"/>
        <w:rPr>
          <w:rFonts w:ascii="Times New Roman" w:hAnsi="Times New Roman" w:cs="Times New Roman"/>
          <w:b/>
        </w:rPr>
      </w:pPr>
    </w:p>
    <w:tbl>
      <w:tblPr>
        <w:tblW w:w="13680" w:type="dxa"/>
        <w:tblCellMar>
          <w:left w:w="70" w:type="dxa"/>
          <w:right w:w="70" w:type="dxa"/>
        </w:tblCellMar>
        <w:tblLook w:val="04A0" w:firstRow="1" w:lastRow="0" w:firstColumn="1" w:lastColumn="0" w:noHBand="0" w:noVBand="1"/>
      </w:tblPr>
      <w:tblGrid>
        <w:gridCol w:w="963"/>
        <w:gridCol w:w="3220"/>
        <w:gridCol w:w="1060"/>
        <w:gridCol w:w="3220"/>
        <w:gridCol w:w="1220"/>
        <w:gridCol w:w="3220"/>
        <w:gridCol w:w="880"/>
      </w:tblGrid>
      <w:tr w:rsidR="002E4D99" w:rsidRPr="00323691" w14:paraId="43AF951E" w14:textId="77777777" w:rsidTr="00CF1C1E">
        <w:trPr>
          <w:trHeight w:val="300"/>
        </w:trPr>
        <w:tc>
          <w:tcPr>
            <w:tcW w:w="860" w:type="dxa"/>
            <w:vMerge w:val="restart"/>
            <w:tcBorders>
              <w:top w:val="nil"/>
              <w:left w:val="nil"/>
              <w:bottom w:val="single" w:sz="4" w:space="0" w:color="000000"/>
              <w:right w:val="nil"/>
            </w:tcBorders>
            <w:shd w:val="clear" w:color="000000" w:fill="FFFFFF"/>
            <w:vAlign w:val="bottom"/>
            <w:hideMark/>
          </w:tcPr>
          <w:p w14:paraId="6BFAD8A5"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Número de búsqueda</w:t>
            </w:r>
          </w:p>
        </w:tc>
        <w:tc>
          <w:tcPr>
            <w:tcW w:w="4280" w:type="dxa"/>
            <w:gridSpan w:val="2"/>
            <w:tcBorders>
              <w:top w:val="nil"/>
              <w:left w:val="nil"/>
              <w:bottom w:val="nil"/>
              <w:right w:val="nil"/>
            </w:tcBorders>
            <w:shd w:val="clear" w:color="000000" w:fill="FFFFFF"/>
            <w:noWrap/>
            <w:vAlign w:val="bottom"/>
            <w:hideMark/>
          </w:tcPr>
          <w:p w14:paraId="11561F44"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proofErr w:type="spellStart"/>
            <w:r w:rsidRPr="00367BEC">
              <w:rPr>
                <w:rFonts w:ascii="Times New Roman" w:hAnsi="Times New Roman"/>
                <w:b/>
                <w:color w:val="000000"/>
                <w:sz w:val="20"/>
              </w:rPr>
              <w:t>Embase</w:t>
            </w:r>
            <w:proofErr w:type="spellEnd"/>
            <w:r w:rsidRPr="00367BEC">
              <w:rPr>
                <w:rFonts w:ascii="Times New Roman" w:hAnsi="Times New Roman"/>
                <w:b/>
                <w:color w:val="000000"/>
                <w:sz w:val="20"/>
              </w:rPr>
              <w:t>®</w:t>
            </w:r>
          </w:p>
        </w:tc>
        <w:tc>
          <w:tcPr>
            <w:tcW w:w="4440" w:type="dxa"/>
            <w:gridSpan w:val="2"/>
            <w:tcBorders>
              <w:top w:val="nil"/>
              <w:left w:val="nil"/>
              <w:bottom w:val="nil"/>
              <w:right w:val="nil"/>
            </w:tcBorders>
            <w:shd w:val="clear" w:color="000000" w:fill="FFFFFF"/>
            <w:noWrap/>
            <w:vAlign w:val="center"/>
            <w:hideMark/>
          </w:tcPr>
          <w:p w14:paraId="2FFA27C8"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PubMed®</w:t>
            </w:r>
          </w:p>
        </w:tc>
        <w:tc>
          <w:tcPr>
            <w:tcW w:w="4100" w:type="dxa"/>
            <w:gridSpan w:val="2"/>
            <w:tcBorders>
              <w:top w:val="nil"/>
              <w:left w:val="nil"/>
              <w:bottom w:val="nil"/>
              <w:right w:val="nil"/>
            </w:tcBorders>
            <w:shd w:val="clear" w:color="000000" w:fill="FFFFFF"/>
            <w:noWrap/>
            <w:vAlign w:val="bottom"/>
            <w:hideMark/>
          </w:tcPr>
          <w:p w14:paraId="2AD4E05A" w14:textId="77777777" w:rsidR="002E4D99" w:rsidRPr="00D447F5" w:rsidRDefault="002E4D99" w:rsidP="00CF1C1E">
            <w:pPr>
              <w:spacing w:after="0" w:line="240" w:lineRule="auto"/>
              <w:rPr>
                <w:rFonts w:ascii="Times New Roman" w:eastAsia="Times New Roman" w:hAnsi="Times New Roman" w:cs="Times New Roman"/>
                <w:b/>
                <w:bCs/>
                <w:color w:val="000000"/>
                <w:sz w:val="20"/>
                <w:szCs w:val="20"/>
                <w:lang w:val="en-US"/>
              </w:rPr>
            </w:pPr>
            <w:r w:rsidRPr="00D447F5">
              <w:rPr>
                <w:rFonts w:ascii="Times New Roman" w:hAnsi="Times New Roman"/>
                <w:b/>
                <w:color w:val="000000"/>
                <w:sz w:val="20"/>
                <w:lang w:val="en-US"/>
              </w:rPr>
              <w:t>Cochrane Database of Systematic Reviews</w:t>
            </w:r>
          </w:p>
        </w:tc>
      </w:tr>
      <w:tr w:rsidR="002E4D99" w:rsidRPr="00367BEC" w14:paraId="4627516C" w14:textId="77777777" w:rsidTr="00CF1C1E">
        <w:trPr>
          <w:trHeight w:val="300"/>
        </w:trPr>
        <w:tc>
          <w:tcPr>
            <w:tcW w:w="860" w:type="dxa"/>
            <w:vMerge/>
            <w:tcBorders>
              <w:top w:val="nil"/>
              <w:left w:val="nil"/>
              <w:bottom w:val="single" w:sz="4" w:space="0" w:color="000000"/>
              <w:right w:val="nil"/>
            </w:tcBorders>
            <w:vAlign w:val="center"/>
            <w:hideMark/>
          </w:tcPr>
          <w:p w14:paraId="41F8711F" w14:textId="77777777" w:rsidR="002E4D99" w:rsidRPr="00D447F5" w:rsidRDefault="002E4D99" w:rsidP="00CF1C1E">
            <w:pPr>
              <w:spacing w:after="0" w:line="240" w:lineRule="auto"/>
              <w:rPr>
                <w:rFonts w:ascii="Times New Roman" w:eastAsia="Times New Roman" w:hAnsi="Times New Roman" w:cs="Times New Roman"/>
                <w:b/>
                <w:bCs/>
                <w:color w:val="000000"/>
                <w:sz w:val="20"/>
                <w:szCs w:val="20"/>
                <w:lang w:val="en-US" w:eastAsia="es-ES"/>
              </w:rPr>
            </w:pPr>
          </w:p>
        </w:tc>
        <w:tc>
          <w:tcPr>
            <w:tcW w:w="3220" w:type="dxa"/>
            <w:tcBorders>
              <w:top w:val="nil"/>
              <w:left w:val="nil"/>
              <w:bottom w:val="single" w:sz="4" w:space="0" w:color="auto"/>
              <w:right w:val="nil"/>
            </w:tcBorders>
            <w:shd w:val="clear" w:color="000000" w:fill="FFFFFF"/>
            <w:noWrap/>
            <w:vAlign w:val="bottom"/>
            <w:hideMark/>
          </w:tcPr>
          <w:p w14:paraId="73188834"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Buscar</w:t>
            </w:r>
          </w:p>
        </w:tc>
        <w:tc>
          <w:tcPr>
            <w:tcW w:w="1060" w:type="dxa"/>
            <w:tcBorders>
              <w:top w:val="nil"/>
              <w:left w:val="nil"/>
              <w:bottom w:val="single" w:sz="4" w:space="0" w:color="auto"/>
              <w:right w:val="nil"/>
            </w:tcBorders>
            <w:shd w:val="clear" w:color="000000" w:fill="FFFFFF"/>
            <w:noWrap/>
            <w:vAlign w:val="bottom"/>
            <w:hideMark/>
          </w:tcPr>
          <w:p w14:paraId="0F2E19D8"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n</w:t>
            </w:r>
          </w:p>
        </w:tc>
        <w:tc>
          <w:tcPr>
            <w:tcW w:w="3220" w:type="dxa"/>
            <w:tcBorders>
              <w:top w:val="nil"/>
              <w:left w:val="nil"/>
              <w:bottom w:val="single" w:sz="4" w:space="0" w:color="auto"/>
              <w:right w:val="nil"/>
            </w:tcBorders>
            <w:shd w:val="clear" w:color="000000" w:fill="FFFFFF"/>
            <w:noWrap/>
            <w:vAlign w:val="bottom"/>
            <w:hideMark/>
          </w:tcPr>
          <w:p w14:paraId="76A23D1F"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Buscar</w:t>
            </w:r>
          </w:p>
        </w:tc>
        <w:tc>
          <w:tcPr>
            <w:tcW w:w="1220" w:type="dxa"/>
            <w:tcBorders>
              <w:top w:val="nil"/>
              <w:left w:val="nil"/>
              <w:bottom w:val="single" w:sz="4" w:space="0" w:color="auto"/>
              <w:right w:val="nil"/>
            </w:tcBorders>
            <w:shd w:val="clear" w:color="000000" w:fill="FFFFFF"/>
            <w:noWrap/>
            <w:vAlign w:val="bottom"/>
            <w:hideMark/>
          </w:tcPr>
          <w:p w14:paraId="490FBD4E"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n</w:t>
            </w:r>
          </w:p>
        </w:tc>
        <w:tc>
          <w:tcPr>
            <w:tcW w:w="3220" w:type="dxa"/>
            <w:tcBorders>
              <w:top w:val="nil"/>
              <w:left w:val="nil"/>
              <w:bottom w:val="single" w:sz="4" w:space="0" w:color="auto"/>
              <w:right w:val="nil"/>
            </w:tcBorders>
            <w:shd w:val="clear" w:color="000000" w:fill="FFFFFF"/>
            <w:noWrap/>
            <w:vAlign w:val="bottom"/>
            <w:hideMark/>
          </w:tcPr>
          <w:p w14:paraId="7BDE3AAA"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Buscar</w:t>
            </w:r>
          </w:p>
        </w:tc>
        <w:tc>
          <w:tcPr>
            <w:tcW w:w="880" w:type="dxa"/>
            <w:tcBorders>
              <w:top w:val="nil"/>
              <w:left w:val="nil"/>
              <w:bottom w:val="single" w:sz="4" w:space="0" w:color="auto"/>
              <w:right w:val="nil"/>
            </w:tcBorders>
            <w:shd w:val="clear" w:color="000000" w:fill="FFFFFF"/>
            <w:noWrap/>
            <w:vAlign w:val="bottom"/>
            <w:hideMark/>
          </w:tcPr>
          <w:p w14:paraId="177D8A17" w14:textId="77777777" w:rsidR="002E4D99" w:rsidRPr="00367BEC" w:rsidRDefault="002E4D99" w:rsidP="00CF1C1E">
            <w:pPr>
              <w:spacing w:after="0" w:line="240" w:lineRule="auto"/>
              <w:rPr>
                <w:rFonts w:ascii="Times New Roman" w:eastAsia="Times New Roman" w:hAnsi="Times New Roman" w:cs="Times New Roman"/>
                <w:b/>
                <w:bCs/>
                <w:color w:val="000000"/>
                <w:sz w:val="20"/>
                <w:szCs w:val="20"/>
              </w:rPr>
            </w:pPr>
            <w:r w:rsidRPr="00367BEC">
              <w:rPr>
                <w:rFonts w:ascii="Times New Roman" w:hAnsi="Times New Roman"/>
                <w:b/>
                <w:color w:val="000000"/>
                <w:sz w:val="20"/>
              </w:rPr>
              <w:t>n</w:t>
            </w:r>
          </w:p>
        </w:tc>
      </w:tr>
      <w:tr w:rsidR="002E4D99" w:rsidRPr="00367BEC" w14:paraId="6C40D268" w14:textId="77777777" w:rsidTr="00CF1C1E">
        <w:trPr>
          <w:trHeight w:val="1275"/>
        </w:trPr>
        <w:tc>
          <w:tcPr>
            <w:tcW w:w="860" w:type="dxa"/>
            <w:tcBorders>
              <w:top w:val="nil"/>
              <w:left w:val="nil"/>
              <w:bottom w:val="single" w:sz="4" w:space="0" w:color="auto"/>
              <w:right w:val="nil"/>
            </w:tcBorders>
            <w:shd w:val="clear" w:color="000000" w:fill="FFFFFF"/>
            <w:noWrap/>
            <w:vAlign w:val="center"/>
            <w:hideMark/>
          </w:tcPr>
          <w:p w14:paraId="6D6B777F"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N.º 1</w:t>
            </w:r>
          </w:p>
        </w:tc>
        <w:tc>
          <w:tcPr>
            <w:tcW w:w="3220" w:type="dxa"/>
            <w:tcBorders>
              <w:top w:val="nil"/>
              <w:left w:val="nil"/>
              <w:bottom w:val="single" w:sz="4" w:space="0" w:color="auto"/>
              <w:right w:val="nil"/>
            </w:tcBorders>
            <w:shd w:val="clear" w:color="000000" w:fill="FFFFFF"/>
            <w:hideMark/>
          </w:tcPr>
          <w:p w14:paraId="4ED4261E" w14:textId="555D890E" w:rsidR="002E4D99" w:rsidRPr="00170D2E" w:rsidRDefault="002655D6" w:rsidP="00CF1C1E">
            <w:pPr>
              <w:spacing w:after="0" w:line="240" w:lineRule="auto"/>
              <w:rPr>
                <w:rFonts w:ascii="Times New Roman" w:eastAsia="Times New Roman" w:hAnsi="Times New Roman" w:cs="Times New Roman"/>
                <w:color w:val="000000"/>
                <w:sz w:val="20"/>
                <w:szCs w:val="20"/>
                <w:lang w:val="en-US"/>
              </w:rPr>
            </w:pPr>
            <w:r w:rsidRPr="00170D2E">
              <w:rPr>
                <w:rFonts w:ascii="Times New Roman" w:hAnsi="Times New Roman"/>
                <w:color w:val="000000"/>
                <w:sz w:val="20"/>
                <w:lang w:val="en-US"/>
              </w:rPr>
              <w:t>(((((((cancer pain) OR chronic pain) OR low back pain) OR neuropathic component) OR neuropathic pain) OR nociceptive pain) OR osteoarthritis knee) OR pain</w:t>
            </w:r>
          </w:p>
        </w:tc>
        <w:tc>
          <w:tcPr>
            <w:tcW w:w="1060" w:type="dxa"/>
            <w:tcBorders>
              <w:top w:val="nil"/>
              <w:left w:val="nil"/>
              <w:bottom w:val="single" w:sz="4" w:space="0" w:color="auto"/>
              <w:right w:val="nil"/>
            </w:tcBorders>
            <w:shd w:val="clear" w:color="000000" w:fill="FFFFFF"/>
            <w:noWrap/>
            <w:vAlign w:val="center"/>
            <w:hideMark/>
          </w:tcPr>
          <w:p w14:paraId="3BC724C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1.193.857</w:t>
            </w:r>
          </w:p>
        </w:tc>
        <w:tc>
          <w:tcPr>
            <w:tcW w:w="3220" w:type="dxa"/>
            <w:tcBorders>
              <w:top w:val="nil"/>
              <w:left w:val="nil"/>
              <w:bottom w:val="single" w:sz="4" w:space="0" w:color="auto"/>
              <w:right w:val="nil"/>
            </w:tcBorders>
            <w:shd w:val="clear" w:color="000000" w:fill="FFFFFF"/>
            <w:hideMark/>
          </w:tcPr>
          <w:p w14:paraId="61DB35B1" w14:textId="7C4803F4" w:rsidR="002E4D99" w:rsidRPr="00170D2E" w:rsidRDefault="002655D6" w:rsidP="00CF1C1E">
            <w:pPr>
              <w:spacing w:after="0" w:line="240" w:lineRule="auto"/>
              <w:rPr>
                <w:rFonts w:ascii="Times New Roman" w:eastAsia="Times New Roman" w:hAnsi="Times New Roman" w:cs="Times New Roman"/>
                <w:color w:val="000000"/>
                <w:sz w:val="20"/>
                <w:szCs w:val="20"/>
                <w:lang w:val="en-US"/>
              </w:rPr>
            </w:pPr>
            <w:r w:rsidRPr="00170D2E">
              <w:rPr>
                <w:rFonts w:ascii="Times New Roman" w:hAnsi="Times New Roman"/>
                <w:color w:val="000000"/>
                <w:sz w:val="20"/>
                <w:lang w:val="en-US"/>
              </w:rPr>
              <w:t>(((((((cancer pain) OR chronic pain) OR low back pain) OR neuropathic component) OR neuropathic pain) OR nociceptive pain) OR osteoarthritis knee) OR pain</w:t>
            </w:r>
          </w:p>
        </w:tc>
        <w:tc>
          <w:tcPr>
            <w:tcW w:w="1220" w:type="dxa"/>
            <w:tcBorders>
              <w:top w:val="nil"/>
              <w:left w:val="nil"/>
              <w:bottom w:val="single" w:sz="4" w:space="0" w:color="auto"/>
              <w:right w:val="nil"/>
            </w:tcBorders>
            <w:shd w:val="clear" w:color="000000" w:fill="FFFFFF"/>
            <w:noWrap/>
            <w:vAlign w:val="center"/>
            <w:hideMark/>
          </w:tcPr>
          <w:p w14:paraId="31A7BF1D"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774.707</w:t>
            </w:r>
          </w:p>
        </w:tc>
        <w:tc>
          <w:tcPr>
            <w:tcW w:w="3220" w:type="dxa"/>
            <w:tcBorders>
              <w:top w:val="nil"/>
              <w:left w:val="nil"/>
              <w:bottom w:val="single" w:sz="4" w:space="0" w:color="auto"/>
              <w:right w:val="nil"/>
            </w:tcBorders>
            <w:shd w:val="clear" w:color="000000" w:fill="FFFFFF"/>
            <w:hideMark/>
          </w:tcPr>
          <w:p w14:paraId="0B5B8006" w14:textId="6321BD03" w:rsidR="002E4D99" w:rsidRPr="00170D2E" w:rsidRDefault="002655D6" w:rsidP="00CF1C1E">
            <w:pPr>
              <w:spacing w:after="0" w:line="240" w:lineRule="auto"/>
              <w:rPr>
                <w:rFonts w:ascii="Times New Roman" w:eastAsia="Times New Roman" w:hAnsi="Times New Roman" w:cs="Times New Roman"/>
                <w:color w:val="000000"/>
                <w:sz w:val="20"/>
                <w:szCs w:val="20"/>
                <w:lang w:val="en-US"/>
              </w:rPr>
            </w:pPr>
            <w:r w:rsidRPr="00170D2E">
              <w:rPr>
                <w:rFonts w:ascii="Times New Roman" w:hAnsi="Times New Roman"/>
                <w:color w:val="000000"/>
                <w:sz w:val="20"/>
                <w:lang w:val="en-US"/>
              </w:rPr>
              <w:t>(((((((cancer pain) OR chronic pain) OR low back pain) OR neuropathic component) OR neuropathic pain) OR nociceptive pain) OR osteoarthritis knee) OR pain</w:t>
            </w:r>
          </w:p>
        </w:tc>
        <w:tc>
          <w:tcPr>
            <w:tcW w:w="880" w:type="dxa"/>
            <w:tcBorders>
              <w:top w:val="nil"/>
              <w:left w:val="nil"/>
              <w:bottom w:val="single" w:sz="4" w:space="0" w:color="auto"/>
              <w:right w:val="nil"/>
            </w:tcBorders>
            <w:shd w:val="clear" w:color="000000" w:fill="FFFFFF"/>
            <w:noWrap/>
            <w:vAlign w:val="center"/>
            <w:hideMark/>
          </w:tcPr>
          <w:p w14:paraId="504B1A6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135.956</w:t>
            </w:r>
          </w:p>
        </w:tc>
      </w:tr>
      <w:tr w:rsidR="002E4D99" w:rsidRPr="00367BEC" w14:paraId="1F34A8D2" w14:textId="77777777" w:rsidTr="00CF1C1E">
        <w:trPr>
          <w:trHeight w:val="510"/>
        </w:trPr>
        <w:tc>
          <w:tcPr>
            <w:tcW w:w="860" w:type="dxa"/>
            <w:tcBorders>
              <w:top w:val="nil"/>
              <w:left w:val="nil"/>
              <w:bottom w:val="single" w:sz="4" w:space="0" w:color="auto"/>
              <w:right w:val="nil"/>
            </w:tcBorders>
            <w:shd w:val="clear" w:color="000000" w:fill="FFFFFF"/>
            <w:noWrap/>
            <w:vAlign w:val="center"/>
            <w:hideMark/>
          </w:tcPr>
          <w:p w14:paraId="0DD4DCB1"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N.º 2</w:t>
            </w:r>
          </w:p>
        </w:tc>
        <w:tc>
          <w:tcPr>
            <w:tcW w:w="3220" w:type="dxa"/>
            <w:tcBorders>
              <w:top w:val="nil"/>
              <w:left w:val="nil"/>
              <w:bottom w:val="single" w:sz="4" w:space="0" w:color="auto"/>
              <w:right w:val="nil"/>
            </w:tcBorders>
            <w:shd w:val="clear" w:color="000000" w:fill="FFFFFF"/>
            <w:hideMark/>
          </w:tcPr>
          <w:p w14:paraId="3A231DFC" w14:textId="205D146D" w:rsidR="002E4D99" w:rsidRPr="00170D2E" w:rsidRDefault="002655D6" w:rsidP="00CF1C1E">
            <w:pPr>
              <w:spacing w:after="0" w:line="240" w:lineRule="auto"/>
              <w:rPr>
                <w:rFonts w:ascii="Times New Roman" w:eastAsia="Times New Roman" w:hAnsi="Times New Roman" w:cs="Times New Roman"/>
                <w:color w:val="000000"/>
                <w:sz w:val="20"/>
                <w:szCs w:val="20"/>
                <w:lang w:val="en-GB"/>
              </w:rPr>
            </w:pPr>
            <w:r w:rsidRPr="00170D2E">
              <w:rPr>
                <w:rFonts w:ascii="Times New Roman" w:hAnsi="Times New Roman"/>
                <w:color w:val="000000"/>
                <w:sz w:val="20"/>
                <w:lang w:val="en-GB"/>
              </w:rPr>
              <w:t xml:space="preserve">((((tapentadol) OR </w:t>
            </w:r>
            <w:proofErr w:type="spellStart"/>
            <w:r w:rsidRPr="00170D2E">
              <w:rPr>
                <w:rFonts w:ascii="Times New Roman" w:hAnsi="Times New Roman"/>
                <w:color w:val="000000"/>
                <w:sz w:val="20"/>
                <w:lang w:val="en-GB"/>
              </w:rPr>
              <w:t>yantil</w:t>
            </w:r>
            <w:proofErr w:type="spellEnd"/>
            <w:r w:rsidRPr="00170D2E">
              <w:rPr>
                <w:rFonts w:ascii="Times New Roman" w:hAnsi="Times New Roman"/>
                <w:color w:val="000000"/>
                <w:sz w:val="20"/>
                <w:lang w:val="en-GB"/>
              </w:rPr>
              <w:t xml:space="preserve">) OR </w:t>
            </w:r>
            <w:proofErr w:type="spellStart"/>
            <w:r w:rsidRPr="00170D2E">
              <w:rPr>
                <w:rFonts w:ascii="Times New Roman" w:hAnsi="Times New Roman"/>
                <w:color w:val="000000"/>
                <w:sz w:val="20"/>
                <w:lang w:val="en-GB"/>
              </w:rPr>
              <w:t>palexia</w:t>
            </w:r>
            <w:proofErr w:type="spellEnd"/>
            <w:r w:rsidRPr="00170D2E">
              <w:rPr>
                <w:rFonts w:ascii="Times New Roman" w:hAnsi="Times New Roman"/>
                <w:color w:val="000000"/>
                <w:sz w:val="20"/>
                <w:lang w:val="en-GB"/>
              </w:rPr>
              <w:t xml:space="preserve">) OR </w:t>
            </w:r>
            <w:proofErr w:type="spellStart"/>
            <w:r w:rsidRPr="00170D2E">
              <w:rPr>
                <w:rFonts w:ascii="Times New Roman" w:hAnsi="Times New Roman"/>
                <w:color w:val="000000"/>
                <w:sz w:val="20"/>
                <w:lang w:val="en-GB"/>
              </w:rPr>
              <w:t>nucynta</w:t>
            </w:r>
            <w:proofErr w:type="spellEnd"/>
            <w:r w:rsidRPr="00170D2E">
              <w:rPr>
                <w:rFonts w:ascii="Times New Roman" w:hAnsi="Times New Roman"/>
                <w:color w:val="000000"/>
                <w:sz w:val="20"/>
                <w:lang w:val="en-GB"/>
              </w:rPr>
              <w:t>)</w:t>
            </w:r>
          </w:p>
        </w:tc>
        <w:tc>
          <w:tcPr>
            <w:tcW w:w="1060" w:type="dxa"/>
            <w:tcBorders>
              <w:top w:val="nil"/>
              <w:left w:val="nil"/>
              <w:bottom w:val="single" w:sz="4" w:space="0" w:color="auto"/>
              <w:right w:val="nil"/>
            </w:tcBorders>
            <w:shd w:val="clear" w:color="000000" w:fill="FFFFFF"/>
            <w:noWrap/>
            <w:vAlign w:val="center"/>
            <w:hideMark/>
          </w:tcPr>
          <w:p w14:paraId="7042226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1.300</w:t>
            </w:r>
          </w:p>
        </w:tc>
        <w:tc>
          <w:tcPr>
            <w:tcW w:w="3220" w:type="dxa"/>
            <w:tcBorders>
              <w:top w:val="nil"/>
              <w:left w:val="nil"/>
              <w:bottom w:val="single" w:sz="4" w:space="0" w:color="auto"/>
              <w:right w:val="nil"/>
            </w:tcBorders>
            <w:shd w:val="clear" w:color="000000" w:fill="FFFFFF"/>
            <w:hideMark/>
          </w:tcPr>
          <w:p w14:paraId="342F1C7E" w14:textId="77777777" w:rsidR="002E4D99" w:rsidRPr="00D447F5" w:rsidRDefault="002E4D99" w:rsidP="00CF1C1E">
            <w:pPr>
              <w:spacing w:after="0" w:line="240" w:lineRule="auto"/>
              <w:rPr>
                <w:rFonts w:ascii="Times New Roman" w:eastAsia="Times New Roman" w:hAnsi="Times New Roman" w:cs="Times New Roman"/>
                <w:color w:val="000000"/>
                <w:sz w:val="20"/>
                <w:szCs w:val="20"/>
                <w:lang w:val="pt-BR"/>
              </w:rPr>
            </w:pPr>
            <w:r w:rsidRPr="00D447F5">
              <w:rPr>
                <w:rFonts w:ascii="Times New Roman" w:hAnsi="Times New Roman"/>
                <w:color w:val="000000"/>
                <w:sz w:val="20"/>
                <w:lang w:val="pt-BR"/>
              </w:rPr>
              <w:t xml:space="preserve">((((tapentadol) O </w:t>
            </w:r>
            <w:proofErr w:type="spellStart"/>
            <w:r w:rsidRPr="00D447F5">
              <w:rPr>
                <w:rFonts w:ascii="Times New Roman" w:hAnsi="Times New Roman"/>
                <w:color w:val="000000"/>
                <w:sz w:val="20"/>
                <w:lang w:val="pt-BR"/>
              </w:rPr>
              <w:t>Yantil</w:t>
            </w:r>
            <w:proofErr w:type="spellEnd"/>
            <w:r w:rsidRPr="00D447F5">
              <w:rPr>
                <w:rFonts w:ascii="Times New Roman" w:hAnsi="Times New Roman"/>
                <w:color w:val="000000"/>
                <w:sz w:val="20"/>
                <w:lang w:val="pt-BR"/>
              </w:rPr>
              <w:t xml:space="preserve">) O Palexia) O </w:t>
            </w:r>
            <w:proofErr w:type="spellStart"/>
            <w:r w:rsidRPr="00D447F5">
              <w:rPr>
                <w:rFonts w:ascii="Times New Roman" w:hAnsi="Times New Roman"/>
                <w:color w:val="000000"/>
                <w:sz w:val="20"/>
                <w:lang w:val="pt-BR"/>
              </w:rPr>
              <w:t>Nucynta</w:t>
            </w:r>
            <w:proofErr w:type="spellEnd"/>
            <w:r w:rsidRPr="00D447F5">
              <w:rPr>
                <w:rFonts w:ascii="Times New Roman" w:hAnsi="Times New Roman"/>
                <w:color w:val="000000"/>
                <w:sz w:val="20"/>
                <w:lang w:val="pt-BR"/>
              </w:rPr>
              <w:t>)</w:t>
            </w:r>
          </w:p>
        </w:tc>
        <w:tc>
          <w:tcPr>
            <w:tcW w:w="1220" w:type="dxa"/>
            <w:tcBorders>
              <w:top w:val="nil"/>
              <w:left w:val="nil"/>
              <w:bottom w:val="single" w:sz="4" w:space="0" w:color="auto"/>
              <w:right w:val="nil"/>
            </w:tcBorders>
            <w:shd w:val="clear" w:color="000000" w:fill="FFFFFF"/>
            <w:noWrap/>
            <w:vAlign w:val="center"/>
            <w:hideMark/>
          </w:tcPr>
          <w:p w14:paraId="0E64DB7A"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425</w:t>
            </w:r>
          </w:p>
        </w:tc>
        <w:tc>
          <w:tcPr>
            <w:tcW w:w="3220" w:type="dxa"/>
            <w:tcBorders>
              <w:top w:val="nil"/>
              <w:left w:val="nil"/>
              <w:bottom w:val="single" w:sz="4" w:space="0" w:color="auto"/>
              <w:right w:val="nil"/>
            </w:tcBorders>
            <w:shd w:val="clear" w:color="000000" w:fill="FFFFFF"/>
            <w:hideMark/>
          </w:tcPr>
          <w:p w14:paraId="4E4498A8" w14:textId="77777777" w:rsidR="002E4D99" w:rsidRPr="00D447F5" w:rsidRDefault="002E4D99" w:rsidP="00CF1C1E">
            <w:pPr>
              <w:spacing w:after="0" w:line="240" w:lineRule="auto"/>
              <w:rPr>
                <w:rFonts w:ascii="Times New Roman" w:eastAsia="Times New Roman" w:hAnsi="Times New Roman" w:cs="Times New Roman"/>
                <w:color w:val="000000"/>
                <w:sz w:val="20"/>
                <w:szCs w:val="20"/>
                <w:lang w:val="pt-BR"/>
              </w:rPr>
            </w:pPr>
            <w:r w:rsidRPr="00D447F5">
              <w:rPr>
                <w:rFonts w:ascii="Times New Roman" w:hAnsi="Times New Roman"/>
                <w:color w:val="000000"/>
                <w:sz w:val="20"/>
                <w:lang w:val="pt-BR"/>
              </w:rPr>
              <w:t xml:space="preserve">((((tapentadol) O </w:t>
            </w:r>
            <w:proofErr w:type="spellStart"/>
            <w:r w:rsidRPr="00D447F5">
              <w:rPr>
                <w:rFonts w:ascii="Times New Roman" w:hAnsi="Times New Roman"/>
                <w:color w:val="000000"/>
                <w:sz w:val="20"/>
                <w:lang w:val="pt-BR"/>
              </w:rPr>
              <w:t>Yantil</w:t>
            </w:r>
            <w:proofErr w:type="spellEnd"/>
            <w:r w:rsidRPr="00D447F5">
              <w:rPr>
                <w:rFonts w:ascii="Times New Roman" w:hAnsi="Times New Roman"/>
                <w:color w:val="000000"/>
                <w:sz w:val="20"/>
                <w:lang w:val="pt-BR"/>
              </w:rPr>
              <w:t xml:space="preserve">) O Palexia) O </w:t>
            </w:r>
            <w:proofErr w:type="spellStart"/>
            <w:r w:rsidRPr="00D447F5">
              <w:rPr>
                <w:rFonts w:ascii="Times New Roman" w:hAnsi="Times New Roman"/>
                <w:color w:val="000000"/>
                <w:sz w:val="20"/>
                <w:lang w:val="pt-BR"/>
              </w:rPr>
              <w:t>Nucynta</w:t>
            </w:r>
            <w:proofErr w:type="spellEnd"/>
            <w:r w:rsidRPr="00D447F5">
              <w:rPr>
                <w:rFonts w:ascii="Times New Roman" w:hAnsi="Times New Roman"/>
                <w:color w:val="000000"/>
                <w:sz w:val="20"/>
                <w:lang w:val="pt-BR"/>
              </w:rPr>
              <w:t>)</w:t>
            </w:r>
          </w:p>
        </w:tc>
        <w:tc>
          <w:tcPr>
            <w:tcW w:w="880" w:type="dxa"/>
            <w:tcBorders>
              <w:top w:val="nil"/>
              <w:left w:val="nil"/>
              <w:bottom w:val="single" w:sz="4" w:space="0" w:color="auto"/>
              <w:right w:val="nil"/>
            </w:tcBorders>
            <w:shd w:val="clear" w:color="000000" w:fill="FFFFFF"/>
            <w:noWrap/>
            <w:vAlign w:val="center"/>
            <w:hideMark/>
          </w:tcPr>
          <w:p w14:paraId="38A14DDB"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251</w:t>
            </w:r>
          </w:p>
        </w:tc>
      </w:tr>
      <w:tr w:rsidR="002E4D99" w:rsidRPr="00367BEC" w14:paraId="17BB2EA6" w14:textId="77777777" w:rsidTr="00CF1C1E">
        <w:trPr>
          <w:trHeight w:val="300"/>
        </w:trPr>
        <w:tc>
          <w:tcPr>
            <w:tcW w:w="860" w:type="dxa"/>
            <w:tcBorders>
              <w:top w:val="nil"/>
              <w:left w:val="nil"/>
              <w:bottom w:val="single" w:sz="4" w:space="0" w:color="auto"/>
              <w:right w:val="nil"/>
            </w:tcBorders>
            <w:shd w:val="clear" w:color="000000" w:fill="FFFFFF"/>
            <w:noWrap/>
            <w:vAlign w:val="center"/>
            <w:hideMark/>
          </w:tcPr>
          <w:p w14:paraId="423D4719"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N.º 3</w:t>
            </w:r>
          </w:p>
        </w:tc>
        <w:tc>
          <w:tcPr>
            <w:tcW w:w="3220" w:type="dxa"/>
            <w:tcBorders>
              <w:top w:val="nil"/>
              <w:left w:val="nil"/>
              <w:bottom w:val="single" w:sz="4" w:space="0" w:color="auto"/>
              <w:right w:val="nil"/>
            </w:tcBorders>
            <w:shd w:val="clear" w:color="000000" w:fill="FFFFFF"/>
            <w:hideMark/>
          </w:tcPr>
          <w:p w14:paraId="43DD5682" w14:textId="2DE56880"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N.º 1 y </w:t>
            </w:r>
            <w:r w:rsidR="002655D6">
              <w:rPr>
                <w:rFonts w:ascii="Times New Roman" w:hAnsi="Times New Roman"/>
                <w:color w:val="000000"/>
                <w:sz w:val="20"/>
              </w:rPr>
              <w:t>N</w:t>
            </w:r>
            <w:r w:rsidRPr="00367BEC">
              <w:rPr>
                <w:rFonts w:ascii="Times New Roman" w:hAnsi="Times New Roman"/>
                <w:color w:val="000000"/>
                <w:sz w:val="20"/>
              </w:rPr>
              <w:t>.º 2</w:t>
            </w:r>
          </w:p>
        </w:tc>
        <w:tc>
          <w:tcPr>
            <w:tcW w:w="1060" w:type="dxa"/>
            <w:tcBorders>
              <w:top w:val="nil"/>
              <w:left w:val="nil"/>
              <w:bottom w:val="single" w:sz="4" w:space="0" w:color="auto"/>
              <w:right w:val="nil"/>
            </w:tcBorders>
            <w:shd w:val="clear" w:color="000000" w:fill="FFFFFF"/>
            <w:noWrap/>
            <w:vAlign w:val="center"/>
            <w:hideMark/>
          </w:tcPr>
          <w:p w14:paraId="1D4C9D8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1093</w:t>
            </w:r>
          </w:p>
        </w:tc>
        <w:tc>
          <w:tcPr>
            <w:tcW w:w="3220" w:type="dxa"/>
            <w:tcBorders>
              <w:top w:val="nil"/>
              <w:left w:val="nil"/>
              <w:bottom w:val="single" w:sz="4" w:space="0" w:color="auto"/>
              <w:right w:val="nil"/>
            </w:tcBorders>
            <w:shd w:val="clear" w:color="000000" w:fill="FFFFFF"/>
            <w:hideMark/>
          </w:tcPr>
          <w:p w14:paraId="1F4532BF" w14:textId="54E6B43D"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N.º 1 y </w:t>
            </w:r>
            <w:r w:rsidR="002655D6">
              <w:rPr>
                <w:rFonts w:ascii="Times New Roman" w:hAnsi="Times New Roman"/>
                <w:color w:val="000000"/>
                <w:sz w:val="20"/>
              </w:rPr>
              <w:t>N</w:t>
            </w:r>
            <w:r w:rsidRPr="00367BEC">
              <w:rPr>
                <w:rFonts w:ascii="Times New Roman" w:hAnsi="Times New Roman"/>
                <w:color w:val="000000"/>
                <w:sz w:val="20"/>
              </w:rPr>
              <w:t>.º 2</w:t>
            </w:r>
          </w:p>
        </w:tc>
        <w:tc>
          <w:tcPr>
            <w:tcW w:w="1220" w:type="dxa"/>
            <w:tcBorders>
              <w:top w:val="nil"/>
              <w:left w:val="nil"/>
              <w:bottom w:val="single" w:sz="4" w:space="0" w:color="auto"/>
              <w:right w:val="nil"/>
            </w:tcBorders>
            <w:shd w:val="clear" w:color="000000" w:fill="FFFFFF"/>
            <w:noWrap/>
            <w:vAlign w:val="center"/>
            <w:hideMark/>
          </w:tcPr>
          <w:p w14:paraId="3CB87AEA" w14:textId="77777777" w:rsidR="002E4D99" w:rsidRPr="00367BEC" w:rsidRDefault="00323691" w:rsidP="00CF1C1E">
            <w:pPr>
              <w:spacing w:after="0" w:line="240" w:lineRule="auto"/>
              <w:rPr>
                <w:rFonts w:ascii="Times New Roman" w:eastAsia="Times New Roman" w:hAnsi="Times New Roman" w:cs="Times New Roman"/>
                <w:color w:val="000000"/>
                <w:sz w:val="20"/>
                <w:szCs w:val="20"/>
              </w:rPr>
            </w:pPr>
            <w:hyperlink r:id="rId13" w:tooltip="Mostrar resultados de la búsqueda" w:history="1">
              <w:r w:rsidR="00B961CB" w:rsidRPr="00367BEC">
                <w:rPr>
                  <w:rFonts w:ascii="Times New Roman" w:hAnsi="Times New Roman"/>
                  <w:color w:val="000000"/>
                  <w:sz w:val="20"/>
                </w:rPr>
                <w:t>361</w:t>
              </w:r>
            </w:hyperlink>
          </w:p>
        </w:tc>
        <w:tc>
          <w:tcPr>
            <w:tcW w:w="3220" w:type="dxa"/>
            <w:tcBorders>
              <w:top w:val="nil"/>
              <w:left w:val="nil"/>
              <w:bottom w:val="single" w:sz="4" w:space="0" w:color="auto"/>
              <w:right w:val="nil"/>
            </w:tcBorders>
            <w:shd w:val="clear" w:color="000000" w:fill="FFFFFF"/>
            <w:hideMark/>
          </w:tcPr>
          <w:p w14:paraId="0C503F53" w14:textId="319D7BC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 xml:space="preserve">N.º 1 y </w:t>
            </w:r>
            <w:r w:rsidR="002655D6">
              <w:rPr>
                <w:rFonts w:ascii="Times New Roman" w:hAnsi="Times New Roman"/>
                <w:color w:val="000000"/>
                <w:sz w:val="20"/>
              </w:rPr>
              <w:t>N</w:t>
            </w:r>
            <w:r w:rsidRPr="00367BEC">
              <w:rPr>
                <w:rFonts w:ascii="Times New Roman" w:hAnsi="Times New Roman"/>
                <w:color w:val="000000"/>
                <w:sz w:val="20"/>
              </w:rPr>
              <w:t>.º 2</w:t>
            </w:r>
          </w:p>
        </w:tc>
        <w:tc>
          <w:tcPr>
            <w:tcW w:w="880" w:type="dxa"/>
            <w:tcBorders>
              <w:top w:val="nil"/>
              <w:left w:val="nil"/>
              <w:bottom w:val="single" w:sz="4" w:space="0" w:color="auto"/>
              <w:right w:val="nil"/>
            </w:tcBorders>
            <w:shd w:val="clear" w:color="000000" w:fill="FFFFFF"/>
            <w:noWrap/>
            <w:vAlign w:val="center"/>
            <w:hideMark/>
          </w:tcPr>
          <w:p w14:paraId="7D99FE3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235</w:t>
            </w:r>
          </w:p>
        </w:tc>
      </w:tr>
      <w:tr w:rsidR="002E4D99" w:rsidRPr="00367BEC" w14:paraId="465327F4" w14:textId="77777777" w:rsidTr="00CF1C1E">
        <w:trPr>
          <w:trHeight w:val="510"/>
        </w:trPr>
        <w:tc>
          <w:tcPr>
            <w:tcW w:w="860" w:type="dxa"/>
            <w:tcBorders>
              <w:top w:val="nil"/>
              <w:left w:val="nil"/>
              <w:bottom w:val="single" w:sz="4" w:space="0" w:color="auto"/>
              <w:right w:val="nil"/>
            </w:tcBorders>
            <w:shd w:val="clear" w:color="000000" w:fill="FFFFFF"/>
            <w:noWrap/>
            <w:vAlign w:val="center"/>
            <w:hideMark/>
          </w:tcPr>
          <w:p w14:paraId="02F94AAF"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N.º 4</w:t>
            </w:r>
          </w:p>
        </w:tc>
        <w:tc>
          <w:tcPr>
            <w:tcW w:w="3220" w:type="dxa"/>
            <w:tcBorders>
              <w:top w:val="nil"/>
              <w:left w:val="nil"/>
              <w:bottom w:val="single" w:sz="4" w:space="0" w:color="auto"/>
              <w:right w:val="nil"/>
            </w:tcBorders>
            <w:shd w:val="clear" w:color="000000" w:fill="FFFFFF"/>
            <w:hideMark/>
          </w:tcPr>
          <w:p w14:paraId="30B2CDC7"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Publicados en los últimos 10 años; humanos; español; inglés</w:t>
            </w:r>
          </w:p>
        </w:tc>
        <w:tc>
          <w:tcPr>
            <w:tcW w:w="1060" w:type="dxa"/>
            <w:tcBorders>
              <w:top w:val="nil"/>
              <w:left w:val="nil"/>
              <w:bottom w:val="single" w:sz="4" w:space="0" w:color="auto"/>
              <w:right w:val="nil"/>
            </w:tcBorders>
            <w:shd w:val="clear" w:color="000000" w:fill="FFFFFF"/>
            <w:noWrap/>
            <w:vAlign w:val="center"/>
            <w:hideMark/>
          </w:tcPr>
          <w:p w14:paraId="568D1998"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862</w:t>
            </w:r>
          </w:p>
        </w:tc>
        <w:tc>
          <w:tcPr>
            <w:tcW w:w="3220" w:type="dxa"/>
            <w:tcBorders>
              <w:top w:val="nil"/>
              <w:left w:val="nil"/>
              <w:bottom w:val="single" w:sz="4" w:space="0" w:color="auto"/>
              <w:right w:val="nil"/>
            </w:tcBorders>
            <w:shd w:val="clear" w:color="000000" w:fill="FFFFFF"/>
            <w:hideMark/>
          </w:tcPr>
          <w:p w14:paraId="7E1BC5F0"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Publicados en los últimos 10 años; humanos; español; inglés</w:t>
            </w:r>
          </w:p>
        </w:tc>
        <w:tc>
          <w:tcPr>
            <w:tcW w:w="1220" w:type="dxa"/>
            <w:tcBorders>
              <w:top w:val="nil"/>
              <w:left w:val="nil"/>
              <w:bottom w:val="single" w:sz="4" w:space="0" w:color="auto"/>
              <w:right w:val="nil"/>
            </w:tcBorders>
            <w:shd w:val="clear" w:color="000000" w:fill="FFFFFF"/>
            <w:noWrap/>
            <w:vAlign w:val="center"/>
            <w:hideMark/>
          </w:tcPr>
          <w:p w14:paraId="0A8593B5"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215</w:t>
            </w:r>
          </w:p>
        </w:tc>
        <w:tc>
          <w:tcPr>
            <w:tcW w:w="3220" w:type="dxa"/>
            <w:tcBorders>
              <w:top w:val="nil"/>
              <w:left w:val="nil"/>
              <w:bottom w:val="single" w:sz="4" w:space="0" w:color="auto"/>
              <w:right w:val="nil"/>
            </w:tcBorders>
            <w:shd w:val="clear" w:color="000000" w:fill="FFFFFF"/>
            <w:hideMark/>
          </w:tcPr>
          <w:p w14:paraId="4180429F"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En los últimos 2 años</w:t>
            </w:r>
          </w:p>
        </w:tc>
        <w:tc>
          <w:tcPr>
            <w:tcW w:w="880" w:type="dxa"/>
            <w:tcBorders>
              <w:top w:val="nil"/>
              <w:left w:val="nil"/>
              <w:bottom w:val="single" w:sz="4" w:space="0" w:color="auto"/>
              <w:right w:val="nil"/>
            </w:tcBorders>
            <w:shd w:val="clear" w:color="000000" w:fill="FFFFFF"/>
            <w:noWrap/>
            <w:vAlign w:val="center"/>
            <w:hideMark/>
          </w:tcPr>
          <w:p w14:paraId="7088AC9E"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117</w:t>
            </w:r>
          </w:p>
        </w:tc>
      </w:tr>
      <w:tr w:rsidR="002E4D99" w:rsidRPr="00367BEC" w14:paraId="230FCBA6" w14:textId="77777777" w:rsidTr="00CF1C1E">
        <w:trPr>
          <w:trHeight w:val="765"/>
        </w:trPr>
        <w:tc>
          <w:tcPr>
            <w:tcW w:w="860" w:type="dxa"/>
            <w:tcBorders>
              <w:top w:val="nil"/>
              <w:left w:val="nil"/>
              <w:bottom w:val="nil"/>
              <w:right w:val="nil"/>
            </w:tcBorders>
            <w:shd w:val="clear" w:color="000000" w:fill="FFFFFF"/>
            <w:noWrap/>
            <w:vAlign w:val="center"/>
            <w:hideMark/>
          </w:tcPr>
          <w:p w14:paraId="7F308D89" w14:textId="77777777" w:rsidR="002E4D99" w:rsidRPr="00367BEC" w:rsidRDefault="002E4D99" w:rsidP="00CF1C1E">
            <w:pPr>
              <w:spacing w:after="0" w:line="240" w:lineRule="auto"/>
              <w:jc w:val="center"/>
              <w:rPr>
                <w:rFonts w:ascii="Times New Roman" w:eastAsia="Times New Roman" w:hAnsi="Times New Roman" w:cs="Times New Roman"/>
                <w:b/>
                <w:bCs/>
                <w:color w:val="000000"/>
                <w:sz w:val="20"/>
                <w:szCs w:val="20"/>
              </w:rPr>
            </w:pPr>
            <w:r w:rsidRPr="00367BEC">
              <w:rPr>
                <w:rFonts w:ascii="Times New Roman" w:hAnsi="Times New Roman"/>
                <w:b/>
                <w:color w:val="000000"/>
                <w:sz w:val="20"/>
              </w:rPr>
              <w:t>N.º 5</w:t>
            </w:r>
          </w:p>
        </w:tc>
        <w:tc>
          <w:tcPr>
            <w:tcW w:w="3220" w:type="dxa"/>
            <w:tcBorders>
              <w:top w:val="nil"/>
              <w:left w:val="nil"/>
              <w:bottom w:val="nil"/>
              <w:right w:val="nil"/>
            </w:tcBorders>
            <w:shd w:val="clear" w:color="000000" w:fill="FFFFFF"/>
            <w:hideMark/>
          </w:tcPr>
          <w:p w14:paraId="04B2AF11" w14:textId="485EC943" w:rsidR="002E4D99" w:rsidRPr="00170D2E" w:rsidRDefault="002655D6" w:rsidP="00CF1C1E">
            <w:pPr>
              <w:spacing w:after="0" w:line="240" w:lineRule="auto"/>
              <w:rPr>
                <w:rFonts w:ascii="Times New Roman" w:eastAsia="Times New Roman" w:hAnsi="Times New Roman" w:cs="Times New Roman"/>
                <w:color w:val="000000"/>
                <w:sz w:val="20"/>
                <w:szCs w:val="20"/>
                <w:lang w:val="en-US"/>
              </w:rPr>
            </w:pPr>
            <w:r w:rsidRPr="00170D2E">
              <w:rPr>
                <w:rFonts w:ascii="Times New Roman" w:hAnsi="Times New Roman"/>
                <w:color w:val="000000"/>
                <w:sz w:val="20"/>
                <w:lang w:val="en-US"/>
              </w:rPr>
              <w:t>('</w:t>
            </w:r>
            <w:proofErr w:type="spellStart"/>
            <w:r w:rsidRPr="00170D2E">
              <w:rPr>
                <w:rFonts w:ascii="Times New Roman" w:hAnsi="Times New Roman"/>
                <w:color w:val="000000"/>
                <w:sz w:val="20"/>
                <w:lang w:val="en-US"/>
              </w:rPr>
              <w:t>meta analysis</w:t>
            </w:r>
            <w:proofErr w:type="spellEnd"/>
            <w:r w:rsidRPr="00170D2E">
              <w:rPr>
                <w:rFonts w:ascii="Times New Roman" w:hAnsi="Times New Roman"/>
                <w:color w:val="000000"/>
                <w:sz w:val="20"/>
                <w:lang w:val="en-US"/>
              </w:rPr>
              <w:t>'/de OR 'multicenter study'/de OR 'observational study'/de OR 'systematic review'/de)</w:t>
            </w:r>
          </w:p>
        </w:tc>
        <w:tc>
          <w:tcPr>
            <w:tcW w:w="1060" w:type="dxa"/>
            <w:tcBorders>
              <w:top w:val="nil"/>
              <w:left w:val="nil"/>
              <w:bottom w:val="nil"/>
              <w:right w:val="nil"/>
            </w:tcBorders>
            <w:shd w:val="clear" w:color="000000" w:fill="FFFFFF"/>
            <w:noWrap/>
            <w:vAlign w:val="center"/>
            <w:hideMark/>
          </w:tcPr>
          <w:p w14:paraId="55F2E109"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128</w:t>
            </w:r>
          </w:p>
        </w:tc>
        <w:tc>
          <w:tcPr>
            <w:tcW w:w="3220" w:type="dxa"/>
            <w:tcBorders>
              <w:top w:val="nil"/>
              <w:left w:val="nil"/>
              <w:bottom w:val="nil"/>
              <w:right w:val="nil"/>
            </w:tcBorders>
            <w:shd w:val="clear" w:color="000000" w:fill="FFFFFF"/>
            <w:hideMark/>
          </w:tcPr>
          <w:p w14:paraId="61B00982" w14:textId="775BEB5A" w:rsidR="002E4D99" w:rsidRPr="00170D2E" w:rsidRDefault="002655D6" w:rsidP="00CF1C1E">
            <w:pPr>
              <w:spacing w:after="0" w:line="240" w:lineRule="auto"/>
              <w:rPr>
                <w:rFonts w:ascii="Times New Roman" w:eastAsia="Times New Roman" w:hAnsi="Times New Roman" w:cs="Times New Roman"/>
                <w:color w:val="000000"/>
                <w:sz w:val="20"/>
                <w:szCs w:val="20"/>
                <w:lang w:val="en-US"/>
              </w:rPr>
            </w:pPr>
            <w:r w:rsidRPr="00170D2E">
              <w:rPr>
                <w:rFonts w:ascii="Times New Roman" w:hAnsi="Times New Roman"/>
                <w:color w:val="000000"/>
                <w:sz w:val="20"/>
                <w:lang w:val="en-US"/>
              </w:rPr>
              <w:t>('</w:t>
            </w:r>
            <w:proofErr w:type="spellStart"/>
            <w:r w:rsidRPr="00170D2E">
              <w:rPr>
                <w:rFonts w:ascii="Times New Roman" w:hAnsi="Times New Roman"/>
                <w:color w:val="000000"/>
                <w:sz w:val="20"/>
                <w:lang w:val="en-US"/>
              </w:rPr>
              <w:t>meta analysis</w:t>
            </w:r>
            <w:proofErr w:type="spellEnd"/>
            <w:r w:rsidRPr="00170D2E">
              <w:rPr>
                <w:rFonts w:ascii="Times New Roman" w:hAnsi="Times New Roman"/>
                <w:color w:val="000000"/>
                <w:sz w:val="20"/>
                <w:lang w:val="en-US"/>
              </w:rPr>
              <w:t>'/de OR 'multicenter study'/de OR 'observational study'/de OR 'systematic review'/de)</w:t>
            </w:r>
          </w:p>
        </w:tc>
        <w:tc>
          <w:tcPr>
            <w:tcW w:w="1220" w:type="dxa"/>
            <w:tcBorders>
              <w:top w:val="nil"/>
              <w:left w:val="nil"/>
              <w:bottom w:val="nil"/>
              <w:right w:val="nil"/>
            </w:tcBorders>
            <w:shd w:val="clear" w:color="000000" w:fill="FFFFFF"/>
            <w:noWrap/>
            <w:vAlign w:val="center"/>
            <w:hideMark/>
          </w:tcPr>
          <w:p w14:paraId="3969A801"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57</w:t>
            </w:r>
          </w:p>
        </w:tc>
        <w:tc>
          <w:tcPr>
            <w:tcW w:w="3220" w:type="dxa"/>
            <w:tcBorders>
              <w:top w:val="nil"/>
              <w:left w:val="nil"/>
              <w:bottom w:val="nil"/>
              <w:right w:val="nil"/>
            </w:tcBorders>
            <w:shd w:val="clear" w:color="000000" w:fill="FFFFFF"/>
            <w:hideMark/>
          </w:tcPr>
          <w:p w14:paraId="255EF7CC"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Revisiones de la Biblioteca Cochrane</w:t>
            </w:r>
          </w:p>
        </w:tc>
        <w:tc>
          <w:tcPr>
            <w:tcW w:w="880" w:type="dxa"/>
            <w:tcBorders>
              <w:top w:val="nil"/>
              <w:left w:val="nil"/>
              <w:bottom w:val="nil"/>
              <w:right w:val="nil"/>
            </w:tcBorders>
            <w:shd w:val="clear" w:color="000000" w:fill="FFFFFF"/>
            <w:noWrap/>
            <w:vAlign w:val="center"/>
            <w:hideMark/>
          </w:tcPr>
          <w:p w14:paraId="475500E2" w14:textId="77777777" w:rsidR="002E4D99" w:rsidRPr="00367BEC" w:rsidRDefault="002E4D99" w:rsidP="00CF1C1E">
            <w:pPr>
              <w:spacing w:after="0" w:line="240" w:lineRule="auto"/>
              <w:rPr>
                <w:rFonts w:ascii="Times New Roman" w:eastAsia="Times New Roman" w:hAnsi="Times New Roman" w:cs="Times New Roman"/>
                <w:color w:val="000000"/>
                <w:sz w:val="20"/>
                <w:szCs w:val="20"/>
              </w:rPr>
            </w:pPr>
            <w:r w:rsidRPr="00367BEC">
              <w:rPr>
                <w:rFonts w:ascii="Times New Roman" w:hAnsi="Times New Roman"/>
                <w:color w:val="000000"/>
                <w:sz w:val="20"/>
              </w:rPr>
              <w:t>23</w:t>
            </w:r>
          </w:p>
        </w:tc>
      </w:tr>
    </w:tbl>
    <w:p w14:paraId="776161B4" w14:textId="79ECA9DE" w:rsidR="002E4D99" w:rsidRDefault="002E4D99">
      <w:pPr>
        <w:rPr>
          <w:rFonts w:ascii="Times New Roman" w:hAnsi="Times New Roman" w:cs="Times New Roman"/>
          <w:bCs/>
        </w:rPr>
      </w:pPr>
    </w:p>
    <w:p w14:paraId="073D9DF1" w14:textId="77777777" w:rsidR="002655D6" w:rsidRPr="00367BEC" w:rsidRDefault="002655D6">
      <w:pPr>
        <w:rPr>
          <w:rFonts w:ascii="Times New Roman" w:hAnsi="Times New Roman" w:cs="Times New Roman"/>
          <w:bCs/>
        </w:rPr>
      </w:pPr>
    </w:p>
    <w:sectPr w:rsidR="002655D6" w:rsidRPr="00367BEC" w:rsidSect="00CF1C1E">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FDF71" w14:textId="77777777" w:rsidR="00982B98" w:rsidRDefault="00982B98" w:rsidP="00BC3316">
      <w:pPr>
        <w:spacing w:after="0" w:line="240" w:lineRule="auto"/>
      </w:pPr>
      <w:r>
        <w:separator/>
      </w:r>
    </w:p>
  </w:endnote>
  <w:endnote w:type="continuationSeparator" w:id="0">
    <w:p w14:paraId="2B6D02F2" w14:textId="77777777" w:rsidR="00982B98" w:rsidRDefault="00982B98" w:rsidP="00BC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078025"/>
      <w:docPartObj>
        <w:docPartGallery w:val="Page Numbers (Bottom of Page)"/>
        <w:docPartUnique/>
      </w:docPartObj>
    </w:sdtPr>
    <w:sdtEndPr/>
    <w:sdtContent>
      <w:p w14:paraId="48ACA34A" w14:textId="21AE3243" w:rsidR="00697500" w:rsidRDefault="00697500">
        <w:pPr>
          <w:pStyle w:val="Piedepgina"/>
          <w:jc w:val="center"/>
        </w:pPr>
        <w:r>
          <w:fldChar w:fldCharType="begin"/>
        </w:r>
        <w:r>
          <w:instrText>PAGE   \* MERGEFORMAT</w:instrText>
        </w:r>
        <w:r>
          <w:fldChar w:fldCharType="separate"/>
        </w:r>
        <w:r>
          <w:t>2</w:t>
        </w:r>
        <w:r>
          <w:fldChar w:fldCharType="end"/>
        </w:r>
      </w:p>
    </w:sdtContent>
  </w:sdt>
  <w:p w14:paraId="464D3A32" w14:textId="77777777" w:rsidR="00697500" w:rsidRDefault="00697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0B57" w14:textId="77777777" w:rsidR="00982B98" w:rsidRDefault="00982B98" w:rsidP="00BC3316">
      <w:pPr>
        <w:spacing w:after="0" w:line="240" w:lineRule="auto"/>
      </w:pPr>
      <w:r>
        <w:separator/>
      </w:r>
    </w:p>
  </w:footnote>
  <w:footnote w:type="continuationSeparator" w:id="0">
    <w:p w14:paraId="619CCF41" w14:textId="77777777" w:rsidR="00982B98" w:rsidRDefault="00982B98" w:rsidP="00BC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4EE"/>
    <w:multiLevelType w:val="multilevel"/>
    <w:tmpl w:val="1FA4413A"/>
    <w:lvl w:ilvl="0">
      <w:start w:val="1"/>
      <w:numFmt w:val="decimal"/>
      <w:lvlText w:val="%1."/>
      <w:lvlJc w:val="left"/>
      <w:pPr>
        <w:ind w:left="360" w:hanging="360"/>
      </w:pPr>
      <w:rPr>
        <w:b/>
        <w:bCs/>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722CF"/>
    <w:multiLevelType w:val="hybridMultilevel"/>
    <w:tmpl w:val="6A5A67CC"/>
    <w:lvl w:ilvl="0" w:tplc="C786E5D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3EF487F"/>
    <w:multiLevelType w:val="hybridMultilevel"/>
    <w:tmpl w:val="46EC6326"/>
    <w:lvl w:ilvl="0" w:tplc="51CA1BD2">
      <w:start w:val="1"/>
      <w:numFmt w:val="bullet"/>
      <w:lvlText w:val="-"/>
      <w:lvlJc w:val="left"/>
      <w:pPr>
        <w:ind w:left="720" w:hanging="360"/>
      </w:pPr>
      <w:rPr>
        <w:rFonts w:ascii="Calibri" w:eastAsiaTheme="minorHAnsi" w:hAnsi="Calibri" w:cstheme="minorBidi" w:hint="default"/>
        <w:color w:val="auto"/>
        <w:u w:val="none"/>
      </w:rPr>
    </w:lvl>
    <w:lvl w:ilvl="1" w:tplc="2ADEEF1A">
      <w:start w:val="1"/>
      <w:numFmt w:val="bullet"/>
      <w:lvlText w:val="o"/>
      <w:lvlJc w:val="left"/>
      <w:pPr>
        <w:ind w:left="1440" w:hanging="360"/>
      </w:pPr>
      <w:rPr>
        <w:rFonts w:ascii="Courier New" w:hAnsi="Courier New" w:cs="Courier New" w:hint="default"/>
        <w:color w:val="auto"/>
        <w:lang w:val="en-US"/>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191ECA"/>
    <w:multiLevelType w:val="hybridMultilevel"/>
    <w:tmpl w:val="3C32A770"/>
    <w:lvl w:ilvl="0" w:tplc="9E6AE6FC">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6FE093E"/>
    <w:multiLevelType w:val="hybridMultilevel"/>
    <w:tmpl w:val="103ABD96"/>
    <w:lvl w:ilvl="0" w:tplc="CED41BDC">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086601"/>
    <w:multiLevelType w:val="multilevel"/>
    <w:tmpl w:val="1FA4413A"/>
    <w:lvl w:ilvl="0">
      <w:start w:val="1"/>
      <w:numFmt w:val="decimal"/>
      <w:lvlText w:val="%1."/>
      <w:lvlJc w:val="left"/>
      <w:pPr>
        <w:ind w:left="360" w:hanging="360"/>
      </w:pPr>
      <w:rPr>
        <w:b/>
        <w:bCs/>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876F1"/>
    <w:multiLevelType w:val="hybridMultilevel"/>
    <w:tmpl w:val="81CE48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A8E5179"/>
    <w:multiLevelType w:val="multilevel"/>
    <w:tmpl w:val="1FA4413A"/>
    <w:lvl w:ilvl="0">
      <w:start w:val="1"/>
      <w:numFmt w:val="decimal"/>
      <w:lvlText w:val="%1."/>
      <w:lvlJc w:val="left"/>
      <w:pPr>
        <w:ind w:left="360" w:hanging="360"/>
      </w:pPr>
      <w:rPr>
        <w:b/>
        <w:bCs/>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E12AC"/>
    <w:multiLevelType w:val="multilevel"/>
    <w:tmpl w:val="1FA4413A"/>
    <w:lvl w:ilvl="0">
      <w:start w:val="1"/>
      <w:numFmt w:val="decimal"/>
      <w:lvlText w:val="%1."/>
      <w:lvlJc w:val="left"/>
      <w:pPr>
        <w:ind w:left="360" w:hanging="360"/>
      </w:pPr>
      <w:rPr>
        <w:b/>
        <w:bCs/>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511F4A"/>
    <w:multiLevelType w:val="hybridMultilevel"/>
    <w:tmpl w:val="597AFB62"/>
    <w:lvl w:ilvl="0" w:tplc="7644831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1A0D52"/>
    <w:multiLevelType w:val="hybridMultilevel"/>
    <w:tmpl w:val="566A9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B6535F"/>
    <w:multiLevelType w:val="hybridMultilevel"/>
    <w:tmpl w:val="B87CEE04"/>
    <w:lvl w:ilvl="0" w:tplc="B564672E">
      <w:numFmt w:val="bullet"/>
      <w:lvlText w:val="-"/>
      <w:lvlJc w:val="left"/>
      <w:pPr>
        <w:ind w:left="720" w:hanging="360"/>
      </w:pPr>
      <w:rPr>
        <w:rFonts w:ascii="Calibri" w:eastAsiaTheme="minorHAnsi" w:hAnsi="Calibri" w:cs="Calibri"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983483"/>
    <w:multiLevelType w:val="multilevel"/>
    <w:tmpl w:val="6FAA528A"/>
    <w:lvl w:ilvl="0">
      <w:start w:val="3"/>
      <w:numFmt w:val="decimal"/>
      <w:lvlText w:val="%1."/>
      <w:lvlJc w:val="left"/>
      <w:pPr>
        <w:ind w:left="360" w:hanging="360"/>
      </w:pPr>
      <w:rPr>
        <w:rFonts w:hint="default"/>
        <w:b w:val="0"/>
        <w:sz w:val="20"/>
      </w:rPr>
    </w:lvl>
    <w:lvl w:ilvl="1">
      <w:start w:val="1"/>
      <w:numFmt w:val="decimal"/>
      <w:lvlText w:val="%1.%2."/>
      <w:lvlJc w:val="left"/>
      <w:pPr>
        <w:ind w:left="1440" w:hanging="72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920" w:hanging="2160"/>
      </w:pPr>
      <w:rPr>
        <w:rFonts w:hint="default"/>
        <w:b w:val="0"/>
        <w:sz w:val="20"/>
      </w:rPr>
    </w:lvl>
  </w:abstractNum>
  <w:abstractNum w:abstractNumId="13" w15:restartNumberingAfterBreak="0">
    <w:nsid w:val="5C8639E1"/>
    <w:multiLevelType w:val="hybridMultilevel"/>
    <w:tmpl w:val="EE34CBCE"/>
    <w:lvl w:ilvl="0" w:tplc="6632170E">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F01429A"/>
    <w:multiLevelType w:val="hybridMultilevel"/>
    <w:tmpl w:val="024A21BC"/>
    <w:lvl w:ilvl="0" w:tplc="9378EFA6">
      <w:numFmt w:val="bullet"/>
      <w:lvlText w:val="-"/>
      <w:lvlJc w:val="left"/>
      <w:pPr>
        <w:ind w:left="360" w:hanging="360"/>
      </w:pPr>
      <w:rPr>
        <w:rFonts w:ascii="Calibri" w:eastAsia="Times New Roman" w:hAnsi="Calibri" w:cs="Times New Roman" w:hint="default"/>
        <w:lang w:val="en"/>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10D4CCF"/>
    <w:multiLevelType w:val="hybridMultilevel"/>
    <w:tmpl w:val="E92CF3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94D4375"/>
    <w:multiLevelType w:val="multilevel"/>
    <w:tmpl w:val="32AC431A"/>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1039B"/>
    <w:multiLevelType w:val="hybridMultilevel"/>
    <w:tmpl w:val="E61442BA"/>
    <w:lvl w:ilvl="0" w:tplc="C01ED45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DCE2B2A"/>
    <w:multiLevelType w:val="multilevel"/>
    <w:tmpl w:val="1FA4413A"/>
    <w:lvl w:ilvl="0">
      <w:start w:val="1"/>
      <w:numFmt w:val="decimal"/>
      <w:lvlText w:val="%1."/>
      <w:lvlJc w:val="left"/>
      <w:pPr>
        <w:ind w:left="360" w:hanging="360"/>
      </w:pPr>
      <w:rPr>
        <w:b/>
        <w:bCs/>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2"/>
  </w:num>
  <w:num w:numId="4">
    <w:abstractNumId w:val="2"/>
  </w:num>
  <w:num w:numId="5">
    <w:abstractNumId w:val="1"/>
  </w:num>
  <w:num w:numId="6">
    <w:abstractNumId w:val="6"/>
  </w:num>
  <w:num w:numId="7">
    <w:abstractNumId w:val="3"/>
  </w:num>
  <w:num w:numId="8">
    <w:abstractNumId w:val="0"/>
  </w:num>
  <w:num w:numId="9">
    <w:abstractNumId w:val="15"/>
  </w:num>
  <w:num w:numId="10">
    <w:abstractNumId w:val="8"/>
  </w:num>
  <w:num w:numId="11">
    <w:abstractNumId w:val="5"/>
  </w:num>
  <w:num w:numId="12">
    <w:abstractNumId w:val="18"/>
  </w:num>
  <w:num w:numId="13">
    <w:abstractNumId w:val="7"/>
  </w:num>
  <w:num w:numId="14">
    <w:abstractNumId w:val="9"/>
  </w:num>
  <w:num w:numId="15">
    <w:abstractNumId w:val="11"/>
  </w:num>
  <w:num w:numId="16">
    <w:abstractNumId w:val="4"/>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E7E51"/>
    <w:rsid w:val="000100C3"/>
    <w:rsid w:val="00011650"/>
    <w:rsid w:val="00011948"/>
    <w:rsid w:val="00011F77"/>
    <w:rsid w:val="00012588"/>
    <w:rsid w:val="0001352A"/>
    <w:rsid w:val="00013EA1"/>
    <w:rsid w:val="00015735"/>
    <w:rsid w:val="00015E51"/>
    <w:rsid w:val="000165EF"/>
    <w:rsid w:val="0001745C"/>
    <w:rsid w:val="000208D9"/>
    <w:rsid w:val="00024AA6"/>
    <w:rsid w:val="000310D9"/>
    <w:rsid w:val="0003431F"/>
    <w:rsid w:val="00035E5D"/>
    <w:rsid w:val="0003679E"/>
    <w:rsid w:val="00040D84"/>
    <w:rsid w:val="00041F9A"/>
    <w:rsid w:val="00042082"/>
    <w:rsid w:val="000444BA"/>
    <w:rsid w:val="00046CA4"/>
    <w:rsid w:val="000501B5"/>
    <w:rsid w:val="00050882"/>
    <w:rsid w:val="000510A5"/>
    <w:rsid w:val="00051B59"/>
    <w:rsid w:val="00052ECB"/>
    <w:rsid w:val="00053933"/>
    <w:rsid w:val="00053E39"/>
    <w:rsid w:val="0005480C"/>
    <w:rsid w:val="00055CFE"/>
    <w:rsid w:val="00062C6B"/>
    <w:rsid w:val="00063123"/>
    <w:rsid w:val="00063309"/>
    <w:rsid w:val="0006438F"/>
    <w:rsid w:val="000656A2"/>
    <w:rsid w:val="00067E05"/>
    <w:rsid w:val="00071002"/>
    <w:rsid w:val="00072881"/>
    <w:rsid w:val="00072920"/>
    <w:rsid w:val="00073272"/>
    <w:rsid w:val="00074574"/>
    <w:rsid w:val="000772BC"/>
    <w:rsid w:val="000773EC"/>
    <w:rsid w:val="00083B16"/>
    <w:rsid w:val="000848F9"/>
    <w:rsid w:val="0008759E"/>
    <w:rsid w:val="000905BB"/>
    <w:rsid w:val="00092883"/>
    <w:rsid w:val="00095E8A"/>
    <w:rsid w:val="000A01D6"/>
    <w:rsid w:val="000A2944"/>
    <w:rsid w:val="000A5DAD"/>
    <w:rsid w:val="000B05E4"/>
    <w:rsid w:val="000B476E"/>
    <w:rsid w:val="000B4F5C"/>
    <w:rsid w:val="000B6120"/>
    <w:rsid w:val="000C003B"/>
    <w:rsid w:val="000C421F"/>
    <w:rsid w:val="000C6331"/>
    <w:rsid w:val="000D0409"/>
    <w:rsid w:val="000D0F03"/>
    <w:rsid w:val="000D16A0"/>
    <w:rsid w:val="000D39D5"/>
    <w:rsid w:val="000D40A6"/>
    <w:rsid w:val="000D59F7"/>
    <w:rsid w:val="000E05C9"/>
    <w:rsid w:val="000E06C6"/>
    <w:rsid w:val="000E0C96"/>
    <w:rsid w:val="000E2A9C"/>
    <w:rsid w:val="000E4F8E"/>
    <w:rsid w:val="000E502C"/>
    <w:rsid w:val="000E5BB7"/>
    <w:rsid w:val="000E5E82"/>
    <w:rsid w:val="000E6011"/>
    <w:rsid w:val="000E6714"/>
    <w:rsid w:val="000E78BA"/>
    <w:rsid w:val="000E7F66"/>
    <w:rsid w:val="000F3A3D"/>
    <w:rsid w:val="000F4945"/>
    <w:rsid w:val="000F4C25"/>
    <w:rsid w:val="000F763C"/>
    <w:rsid w:val="00101837"/>
    <w:rsid w:val="00103447"/>
    <w:rsid w:val="001035E9"/>
    <w:rsid w:val="001101C2"/>
    <w:rsid w:val="0011089F"/>
    <w:rsid w:val="00111044"/>
    <w:rsid w:val="00112DB7"/>
    <w:rsid w:val="00121C76"/>
    <w:rsid w:val="00122575"/>
    <w:rsid w:val="0012411E"/>
    <w:rsid w:val="00124473"/>
    <w:rsid w:val="00127539"/>
    <w:rsid w:val="001277B4"/>
    <w:rsid w:val="001332A4"/>
    <w:rsid w:val="001340FB"/>
    <w:rsid w:val="001346A5"/>
    <w:rsid w:val="001409B2"/>
    <w:rsid w:val="00146712"/>
    <w:rsid w:val="001478E6"/>
    <w:rsid w:val="00150380"/>
    <w:rsid w:val="001504C2"/>
    <w:rsid w:val="001508FA"/>
    <w:rsid w:val="00151ECC"/>
    <w:rsid w:val="00152B30"/>
    <w:rsid w:val="00157745"/>
    <w:rsid w:val="00160C5E"/>
    <w:rsid w:val="00161DF5"/>
    <w:rsid w:val="00162A8C"/>
    <w:rsid w:val="0016336C"/>
    <w:rsid w:val="00164562"/>
    <w:rsid w:val="00166F29"/>
    <w:rsid w:val="0017000D"/>
    <w:rsid w:val="00170889"/>
    <w:rsid w:val="00170D2E"/>
    <w:rsid w:val="00171428"/>
    <w:rsid w:val="00171B91"/>
    <w:rsid w:val="00172252"/>
    <w:rsid w:val="00172887"/>
    <w:rsid w:val="001759BE"/>
    <w:rsid w:val="001760CE"/>
    <w:rsid w:val="0018378F"/>
    <w:rsid w:val="00186A74"/>
    <w:rsid w:val="00192174"/>
    <w:rsid w:val="00195B94"/>
    <w:rsid w:val="00197880"/>
    <w:rsid w:val="001A1516"/>
    <w:rsid w:val="001A2742"/>
    <w:rsid w:val="001A451A"/>
    <w:rsid w:val="001B131C"/>
    <w:rsid w:val="001B373C"/>
    <w:rsid w:val="001B3E3E"/>
    <w:rsid w:val="001B5DFA"/>
    <w:rsid w:val="001B683D"/>
    <w:rsid w:val="001B7810"/>
    <w:rsid w:val="001C026D"/>
    <w:rsid w:val="001C4C30"/>
    <w:rsid w:val="001D0319"/>
    <w:rsid w:val="001D0C05"/>
    <w:rsid w:val="001D3769"/>
    <w:rsid w:val="001D44A1"/>
    <w:rsid w:val="001D7681"/>
    <w:rsid w:val="001E28A6"/>
    <w:rsid w:val="001E4A2B"/>
    <w:rsid w:val="001E56CA"/>
    <w:rsid w:val="001F3FAA"/>
    <w:rsid w:val="001F44B8"/>
    <w:rsid w:val="001F4FB5"/>
    <w:rsid w:val="001F7089"/>
    <w:rsid w:val="002006A8"/>
    <w:rsid w:val="0020370A"/>
    <w:rsid w:val="002062AD"/>
    <w:rsid w:val="00215C26"/>
    <w:rsid w:val="002163E9"/>
    <w:rsid w:val="002171E5"/>
    <w:rsid w:val="002206F3"/>
    <w:rsid w:val="00220713"/>
    <w:rsid w:val="00220DA9"/>
    <w:rsid w:val="00222316"/>
    <w:rsid w:val="002228CB"/>
    <w:rsid w:val="002239A5"/>
    <w:rsid w:val="002273C9"/>
    <w:rsid w:val="00230E03"/>
    <w:rsid w:val="00231A50"/>
    <w:rsid w:val="002327C6"/>
    <w:rsid w:val="00233155"/>
    <w:rsid w:val="002343BE"/>
    <w:rsid w:val="00244F3F"/>
    <w:rsid w:val="00246177"/>
    <w:rsid w:val="0024651A"/>
    <w:rsid w:val="002506A0"/>
    <w:rsid w:val="002509B5"/>
    <w:rsid w:val="002524EB"/>
    <w:rsid w:val="002526D8"/>
    <w:rsid w:val="00252EEC"/>
    <w:rsid w:val="002607EC"/>
    <w:rsid w:val="00262BDA"/>
    <w:rsid w:val="002655D6"/>
    <w:rsid w:val="00267DC8"/>
    <w:rsid w:val="00271B89"/>
    <w:rsid w:val="0027476E"/>
    <w:rsid w:val="00274814"/>
    <w:rsid w:val="00274D62"/>
    <w:rsid w:val="00275F8D"/>
    <w:rsid w:val="00282FBE"/>
    <w:rsid w:val="00283365"/>
    <w:rsid w:val="00283592"/>
    <w:rsid w:val="0028568F"/>
    <w:rsid w:val="00287AEC"/>
    <w:rsid w:val="00290024"/>
    <w:rsid w:val="00293933"/>
    <w:rsid w:val="00294583"/>
    <w:rsid w:val="00294774"/>
    <w:rsid w:val="002947BE"/>
    <w:rsid w:val="00297826"/>
    <w:rsid w:val="002978E2"/>
    <w:rsid w:val="002A26E5"/>
    <w:rsid w:val="002A2C03"/>
    <w:rsid w:val="002A31E9"/>
    <w:rsid w:val="002A5DA2"/>
    <w:rsid w:val="002A61D8"/>
    <w:rsid w:val="002A6ABA"/>
    <w:rsid w:val="002A6B6C"/>
    <w:rsid w:val="002A774C"/>
    <w:rsid w:val="002B1DA9"/>
    <w:rsid w:val="002B334E"/>
    <w:rsid w:val="002B48C8"/>
    <w:rsid w:val="002B5986"/>
    <w:rsid w:val="002B7006"/>
    <w:rsid w:val="002B78C9"/>
    <w:rsid w:val="002C2467"/>
    <w:rsid w:val="002C25D2"/>
    <w:rsid w:val="002C5F50"/>
    <w:rsid w:val="002C62A4"/>
    <w:rsid w:val="002C6FEA"/>
    <w:rsid w:val="002C78BA"/>
    <w:rsid w:val="002D03E7"/>
    <w:rsid w:val="002D1CC2"/>
    <w:rsid w:val="002D384D"/>
    <w:rsid w:val="002D3CBA"/>
    <w:rsid w:val="002E0F5D"/>
    <w:rsid w:val="002E1816"/>
    <w:rsid w:val="002E33F8"/>
    <w:rsid w:val="002E4D99"/>
    <w:rsid w:val="002E541F"/>
    <w:rsid w:val="002E6B86"/>
    <w:rsid w:val="002E7929"/>
    <w:rsid w:val="002F18B8"/>
    <w:rsid w:val="002F221C"/>
    <w:rsid w:val="002F5A6A"/>
    <w:rsid w:val="002F65DE"/>
    <w:rsid w:val="002F6BDF"/>
    <w:rsid w:val="0030019B"/>
    <w:rsid w:val="0030132F"/>
    <w:rsid w:val="0030460C"/>
    <w:rsid w:val="00304D11"/>
    <w:rsid w:val="003059B9"/>
    <w:rsid w:val="00305C77"/>
    <w:rsid w:val="003102EE"/>
    <w:rsid w:val="0031167C"/>
    <w:rsid w:val="00313B57"/>
    <w:rsid w:val="00313FF1"/>
    <w:rsid w:val="00314215"/>
    <w:rsid w:val="003158F1"/>
    <w:rsid w:val="00317827"/>
    <w:rsid w:val="00317862"/>
    <w:rsid w:val="00320668"/>
    <w:rsid w:val="00323481"/>
    <w:rsid w:val="00323691"/>
    <w:rsid w:val="00323F4D"/>
    <w:rsid w:val="00324395"/>
    <w:rsid w:val="00324A82"/>
    <w:rsid w:val="00324FAD"/>
    <w:rsid w:val="003338E1"/>
    <w:rsid w:val="003343CD"/>
    <w:rsid w:val="00334EAE"/>
    <w:rsid w:val="00335D2E"/>
    <w:rsid w:val="00335E2A"/>
    <w:rsid w:val="00337CA9"/>
    <w:rsid w:val="0034086D"/>
    <w:rsid w:val="00341B3A"/>
    <w:rsid w:val="00343A08"/>
    <w:rsid w:val="00343A09"/>
    <w:rsid w:val="00344B72"/>
    <w:rsid w:val="00346407"/>
    <w:rsid w:val="0034641C"/>
    <w:rsid w:val="00351053"/>
    <w:rsid w:val="00351817"/>
    <w:rsid w:val="00354AAA"/>
    <w:rsid w:val="00354D33"/>
    <w:rsid w:val="00355392"/>
    <w:rsid w:val="00356277"/>
    <w:rsid w:val="00356C68"/>
    <w:rsid w:val="00357F5B"/>
    <w:rsid w:val="0036284D"/>
    <w:rsid w:val="0036498C"/>
    <w:rsid w:val="003662A6"/>
    <w:rsid w:val="00366C0F"/>
    <w:rsid w:val="00367BEC"/>
    <w:rsid w:val="00372D9A"/>
    <w:rsid w:val="003766FC"/>
    <w:rsid w:val="00376D49"/>
    <w:rsid w:val="003771DB"/>
    <w:rsid w:val="0038085E"/>
    <w:rsid w:val="003832B3"/>
    <w:rsid w:val="00384A9C"/>
    <w:rsid w:val="0038519C"/>
    <w:rsid w:val="00385905"/>
    <w:rsid w:val="003867B0"/>
    <w:rsid w:val="00390918"/>
    <w:rsid w:val="00396DD2"/>
    <w:rsid w:val="003A42A0"/>
    <w:rsid w:val="003A4DB8"/>
    <w:rsid w:val="003A628C"/>
    <w:rsid w:val="003A6B5F"/>
    <w:rsid w:val="003A6C97"/>
    <w:rsid w:val="003A6FAE"/>
    <w:rsid w:val="003A76F4"/>
    <w:rsid w:val="003A7F22"/>
    <w:rsid w:val="003B155A"/>
    <w:rsid w:val="003B3C30"/>
    <w:rsid w:val="003B491F"/>
    <w:rsid w:val="003B5D99"/>
    <w:rsid w:val="003C022F"/>
    <w:rsid w:val="003C039C"/>
    <w:rsid w:val="003C66E0"/>
    <w:rsid w:val="003D0999"/>
    <w:rsid w:val="003D09D0"/>
    <w:rsid w:val="003D2E99"/>
    <w:rsid w:val="003D3389"/>
    <w:rsid w:val="003D5947"/>
    <w:rsid w:val="003D750C"/>
    <w:rsid w:val="003E0663"/>
    <w:rsid w:val="003E6EFC"/>
    <w:rsid w:val="003F01E4"/>
    <w:rsid w:val="003F025C"/>
    <w:rsid w:val="003F59B4"/>
    <w:rsid w:val="003F731A"/>
    <w:rsid w:val="003F77B8"/>
    <w:rsid w:val="00400EAE"/>
    <w:rsid w:val="00401451"/>
    <w:rsid w:val="004023FC"/>
    <w:rsid w:val="00402A77"/>
    <w:rsid w:val="00403EA5"/>
    <w:rsid w:val="0040445F"/>
    <w:rsid w:val="00404D8F"/>
    <w:rsid w:val="0040518C"/>
    <w:rsid w:val="004057AB"/>
    <w:rsid w:val="00407438"/>
    <w:rsid w:val="00410082"/>
    <w:rsid w:val="004107E3"/>
    <w:rsid w:val="00410ED5"/>
    <w:rsid w:val="004133E9"/>
    <w:rsid w:val="004141EA"/>
    <w:rsid w:val="00414826"/>
    <w:rsid w:val="004148B2"/>
    <w:rsid w:val="004157D4"/>
    <w:rsid w:val="004161EC"/>
    <w:rsid w:val="004163F4"/>
    <w:rsid w:val="004179EF"/>
    <w:rsid w:val="0042310E"/>
    <w:rsid w:val="00424BD4"/>
    <w:rsid w:val="0042579E"/>
    <w:rsid w:val="00425F8F"/>
    <w:rsid w:val="00431377"/>
    <w:rsid w:val="004319B5"/>
    <w:rsid w:val="0043276B"/>
    <w:rsid w:val="00433146"/>
    <w:rsid w:val="00433587"/>
    <w:rsid w:val="00433A4C"/>
    <w:rsid w:val="004402DB"/>
    <w:rsid w:val="0044031C"/>
    <w:rsid w:val="004409C6"/>
    <w:rsid w:val="004426C3"/>
    <w:rsid w:val="00450125"/>
    <w:rsid w:val="00455463"/>
    <w:rsid w:val="00464F1C"/>
    <w:rsid w:val="00465334"/>
    <w:rsid w:val="00471648"/>
    <w:rsid w:val="004727E4"/>
    <w:rsid w:val="00473228"/>
    <w:rsid w:val="00474318"/>
    <w:rsid w:val="00477840"/>
    <w:rsid w:val="00481BCB"/>
    <w:rsid w:val="004827FB"/>
    <w:rsid w:val="00484BAC"/>
    <w:rsid w:val="00487B19"/>
    <w:rsid w:val="00490FF7"/>
    <w:rsid w:val="00492A25"/>
    <w:rsid w:val="00497EFD"/>
    <w:rsid w:val="004A01F6"/>
    <w:rsid w:val="004A0581"/>
    <w:rsid w:val="004A1CE3"/>
    <w:rsid w:val="004A30D5"/>
    <w:rsid w:val="004A3917"/>
    <w:rsid w:val="004A464F"/>
    <w:rsid w:val="004A4B41"/>
    <w:rsid w:val="004B253D"/>
    <w:rsid w:val="004B2B8E"/>
    <w:rsid w:val="004B4C13"/>
    <w:rsid w:val="004C3CF1"/>
    <w:rsid w:val="004C4A57"/>
    <w:rsid w:val="004C51DE"/>
    <w:rsid w:val="004C6DCC"/>
    <w:rsid w:val="004C72BB"/>
    <w:rsid w:val="004D024B"/>
    <w:rsid w:val="004D335A"/>
    <w:rsid w:val="004D4EC2"/>
    <w:rsid w:val="004E21A7"/>
    <w:rsid w:val="004E34F5"/>
    <w:rsid w:val="004F06B8"/>
    <w:rsid w:val="004F0CE5"/>
    <w:rsid w:val="004F143F"/>
    <w:rsid w:val="004F29CD"/>
    <w:rsid w:val="004F4824"/>
    <w:rsid w:val="004F4E9B"/>
    <w:rsid w:val="004F6E5F"/>
    <w:rsid w:val="004F70F6"/>
    <w:rsid w:val="0050195D"/>
    <w:rsid w:val="00505FCD"/>
    <w:rsid w:val="00506C24"/>
    <w:rsid w:val="005101F2"/>
    <w:rsid w:val="005113B9"/>
    <w:rsid w:val="005128C8"/>
    <w:rsid w:val="00514703"/>
    <w:rsid w:val="00517096"/>
    <w:rsid w:val="00521241"/>
    <w:rsid w:val="00523A5A"/>
    <w:rsid w:val="005259C5"/>
    <w:rsid w:val="00526562"/>
    <w:rsid w:val="005268D4"/>
    <w:rsid w:val="00526DC6"/>
    <w:rsid w:val="00533331"/>
    <w:rsid w:val="00535C53"/>
    <w:rsid w:val="00537209"/>
    <w:rsid w:val="00540B76"/>
    <w:rsid w:val="00540D9F"/>
    <w:rsid w:val="00541716"/>
    <w:rsid w:val="0054289D"/>
    <w:rsid w:val="00544BC4"/>
    <w:rsid w:val="00545AD2"/>
    <w:rsid w:val="005518E6"/>
    <w:rsid w:val="005523D6"/>
    <w:rsid w:val="00554410"/>
    <w:rsid w:val="005553E7"/>
    <w:rsid w:val="0055579E"/>
    <w:rsid w:val="00557294"/>
    <w:rsid w:val="00560B2C"/>
    <w:rsid w:val="00560E45"/>
    <w:rsid w:val="00561404"/>
    <w:rsid w:val="0056161B"/>
    <w:rsid w:val="00564543"/>
    <w:rsid w:val="0056508C"/>
    <w:rsid w:val="00565888"/>
    <w:rsid w:val="005663C9"/>
    <w:rsid w:val="005705D8"/>
    <w:rsid w:val="005718EB"/>
    <w:rsid w:val="00574442"/>
    <w:rsid w:val="00574712"/>
    <w:rsid w:val="00575EB1"/>
    <w:rsid w:val="005760B4"/>
    <w:rsid w:val="00576D71"/>
    <w:rsid w:val="00577006"/>
    <w:rsid w:val="00583FA8"/>
    <w:rsid w:val="00585F50"/>
    <w:rsid w:val="005903D0"/>
    <w:rsid w:val="005918EA"/>
    <w:rsid w:val="00591C9E"/>
    <w:rsid w:val="005929B2"/>
    <w:rsid w:val="00594448"/>
    <w:rsid w:val="00595DF8"/>
    <w:rsid w:val="005A39E8"/>
    <w:rsid w:val="005A6A9D"/>
    <w:rsid w:val="005B2626"/>
    <w:rsid w:val="005B4E37"/>
    <w:rsid w:val="005B588C"/>
    <w:rsid w:val="005B685B"/>
    <w:rsid w:val="005C1F0A"/>
    <w:rsid w:val="005C374F"/>
    <w:rsid w:val="005C3FFD"/>
    <w:rsid w:val="005C42D1"/>
    <w:rsid w:val="005C47F0"/>
    <w:rsid w:val="005C4ACC"/>
    <w:rsid w:val="005C6281"/>
    <w:rsid w:val="005C78C8"/>
    <w:rsid w:val="005D14AB"/>
    <w:rsid w:val="005D187A"/>
    <w:rsid w:val="005D18F9"/>
    <w:rsid w:val="005D2660"/>
    <w:rsid w:val="005D26E0"/>
    <w:rsid w:val="005D4C14"/>
    <w:rsid w:val="005E0943"/>
    <w:rsid w:val="005E1863"/>
    <w:rsid w:val="005E2892"/>
    <w:rsid w:val="005E3C05"/>
    <w:rsid w:val="005E5EFF"/>
    <w:rsid w:val="005E7828"/>
    <w:rsid w:val="005E78C8"/>
    <w:rsid w:val="005E7EC5"/>
    <w:rsid w:val="005F0249"/>
    <w:rsid w:val="005F1228"/>
    <w:rsid w:val="005F1C9E"/>
    <w:rsid w:val="005F2F9F"/>
    <w:rsid w:val="005F54AB"/>
    <w:rsid w:val="005F5752"/>
    <w:rsid w:val="00600F34"/>
    <w:rsid w:val="006032D5"/>
    <w:rsid w:val="00603CDE"/>
    <w:rsid w:val="0060565F"/>
    <w:rsid w:val="00605E3E"/>
    <w:rsid w:val="006146E6"/>
    <w:rsid w:val="00616E55"/>
    <w:rsid w:val="00617B97"/>
    <w:rsid w:val="00624FA7"/>
    <w:rsid w:val="00626B16"/>
    <w:rsid w:val="00632DB6"/>
    <w:rsid w:val="00633A7A"/>
    <w:rsid w:val="00637CEA"/>
    <w:rsid w:val="0064113A"/>
    <w:rsid w:val="00642F98"/>
    <w:rsid w:val="006503D6"/>
    <w:rsid w:val="00650DB9"/>
    <w:rsid w:val="006510B9"/>
    <w:rsid w:val="00652AD8"/>
    <w:rsid w:val="00655DB8"/>
    <w:rsid w:val="006626EC"/>
    <w:rsid w:val="00663E65"/>
    <w:rsid w:val="00664530"/>
    <w:rsid w:val="006650EC"/>
    <w:rsid w:val="00665E0C"/>
    <w:rsid w:val="0066645E"/>
    <w:rsid w:val="00666DE9"/>
    <w:rsid w:val="00672E6E"/>
    <w:rsid w:val="006752D9"/>
    <w:rsid w:val="00676B19"/>
    <w:rsid w:val="00680186"/>
    <w:rsid w:val="00682E69"/>
    <w:rsid w:val="00685498"/>
    <w:rsid w:val="00685FF4"/>
    <w:rsid w:val="006879A9"/>
    <w:rsid w:val="00696D04"/>
    <w:rsid w:val="00697500"/>
    <w:rsid w:val="00697628"/>
    <w:rsid w:val="00697DA0"/>
    <w:rsid w:val="006A0BE3"/>
    <w:rsid w:val="006A38CC"/>
    <w:rsid w:val="006A4F59"/>
    <w:rsid w:val="006A6366"/>
    <w:rsid w:val="006B108B"/>
    <w:rsid w:val="006B19CE"/>
    <w:rsid w:val="006B2FCE"/>
    <w:rsid w:val="006B34F8"/>
    <w:rsid w:val="006B70A7"/>
    <w:rsid w:val="006B78C9"/>
    <w:rsid w:val="006C2B0A"/>
    <w:rsid w:val="006C47EC"/>
    <w:rsid w:val="006D00EA"/>
    <w:rsid w:val="006E13D2"/>
    <w:rsid w:val="006E3730"/>
    <w:rsid w:val="006E7F9C"/>
    <w:rsid w:val="006E7FED"/>
    <w:rsid w:val="006F0A06"/>
    <w:rsid w:val="006F137F"/>
    <w:rsid w:val="006F1548"/>
    <w:rsid w:val="006F2ADA"/>
    <w:rsid w:val="00701039"/>
    <w:rsid w:val="00701FA4"/>
    <w:rsid w:val="00705EEA"/>
    <w:rsid w:val="00706E61"/>
    <w:rsid w:val="0071143E"/>
    <w:rsid w:val="00713DB2"/>
    <w:rsid w:val="00716208"/>
    <w:rsid w:val="007162F6"/>
    <w:rsid w:val="00716D87"/>
    <w:rsid w:val="00723BB6"/>
    <w:rsid w:val="00727B8D"/>
    <w:rsid w:val="00733D0A"/>
    <w:rsid w:val="0073519A"/>
    <w:rsid w:val="00736CD0"/>
    <w:rsid w:val="00744817"/>
    <w:rsid w:val="00745FF8"/>
    <w:rsid w:val="00746B94"/>
    <w:rsid w:val="007473E0"/>
    <w:rsid w:val="00747886"/>
    <w:rsid w:val="00747E3C"/>
    <w:rsid w:val="007518B3"/>
    <w:rsid w:val="00751D5A"/>
    <w:rsid w:val="00753D35"/>
    <w:rsid w:val="007542A5"/>
    <w:rsid w:val="00754A8E"/>
    <w:rsid w:val="00755CBB"/>
    <w:rsid w:val="00761D01"/>
    <w:rsid w:val="007656E3"/>
    <w:rsid w:val="00765833"/>
    <w:rsid w:val="00765B2D"/>
    <w:rsid w:val="00772D35"/>
    <w:rsid w:val="00775C20"/>
    <w:rsid w:val="00777EFD"/>
    <w:rsid w:val="007801AA"/>
    <w:rsid w:val="00781838"/>
    <w:rsid w:val="007821B8"/>
    <w:rsid w:val="00784720"/>
    <w:rsid w:val="00785673"/>
    <w:rsid w:val="007875A4"/>
    <w:rsid w:val="00791A7A"/>
    <w:rsid w:val="007963CC"/>
    <w:rsid w:val="007972CB"/>
    <w:rsid w:val="007976D8"/>
    <w:rsid w:val="007A0002"/>
    <w:rsid w:val="007A1A8D"/>
    <w:rsid w:val="007A4268"/>
    <w:rsid w:val="007A5F6D"/>
    <w:rsid w:val="007A62C4"/>
    <w:rsid w:val="007A70B1"/>
    <w:rsid w:val="007A777A"/>
    <w:rsid w:val="007B21C9"/>
    <w:rsid w:val="007B2287"/>
    <w:rsid w:val="007B47D7"/>
    <w:rsid w:val="007B683F"/>
    <w:rsid w:val="007B7815"/>
    <w:rsid w:val="007B7B93"/>
    <w:rsid w:val="007C463B"/>
    <w:rsid w:val="007D21AC"/>
    <w:rsid w:val="007D2AAB"/>
    <w:rsid w:val="007D56E7"/>
    <w:rsid w:val="007E0133"/>
    <w:rsid w:val="007E04EB"/>
    <w:rsid w:val="007E2D00"/>
    <w:rsid w:val="007E51FF"/>
    <w:rsid w:val="007E6982"/>
    <w:rsid w:val="007F138C"/>
    <w:rsid w:val="007F1FBB"/>
    <w:rsid w:val="007F244F"/>
    <w:rsid w:val="007F467E"/>
    <w:rsid w:val="007F47A0"/>
    <w:rsid w:val="007F4E68"/>
    <w:rsid w:val="007F7235"/>
    <w:rsid w:val="007F7530"/>
    <w:rsid w:val="00801E81"/>
    <w:rsid w:val="00810501"/>
    <w:rsid w:val="0081335C"/>
    <w:rsid w:val="00815199"/>
    <w:rsid w:val="008164AF"/>
    <w:rsid w:val="00821137"/>
    <w:rsid w:val="00821873"/>
    <w:rsid w:val="00827266"/>
    <w:rsid w:val="0083235C"/>
    <w:rsid w:val="00833F57"/>
    <w:rsid w:val="00835B95"/>
    <w:rsid w:val="00836866"/>
    <w:rsid w:val="00841B84"/>
    <w:rsid w:val="0084311A"/>
    <w:rsid w:val="00843652"/>
    <w:rsid w:val="008506A1"/>
    <w:rsid w:val="00854DBC"/>
    <w:rsid w:val="008556C5"/>
    <w:rsid w:val="0085789A"/>
    <w:rsid w:val="00857E99"/>
    <w:rsid w:val="00860233"/>
    <w:rsid w:val="00861F65"/>
    <w:rsid w:val="00862459"/>
    <w:rsid w:val="0086337A"/>
    <w:rsid w:val="008642AF"/>
    <w:rsid w:val="00865510"/>
    <w:rsid w:val="0086786E"/>
    <w:rsid w:val="00872218"/>
    <w:rsid w:val="008762D7"/>
    <w:rsid w:val="0087645C"/>
    <w:rsid w:val="0088337A"/>
    <w:rsid w:val="00885B86"/>
    <w:rsid w:val="00887FC1"/>
    <w:rsid w:val="008904C2"/>
    <w:rsid w:val="008965E0"/>
    <w:rsid w:val="00896D17"/>
    <w:rsid w:val="008970E7"/>
    <w:rsid w:val="008A0CDE"/>
    <w:rsid w:val="008A417D"/>
    <w:rsid w:val="008A42C8"/>
    <w:rsid w:val="008A4B78"/>
    <w:rsid w:val="008A4EA2"/>
    <w:rsid w:val="008A6871"/>
    <w:rsid w:val="008B05D0"/>
    <w:rsid w:val="008B0E1E"/>
    <w:rsid w:val="008B1A4B"/>
    <w:rsid w:val="008B3C78"/>
    <w:rsid w:val="008B584A"/>
    <w:rsid w:val="008C0026"/>
    <w:rsid w:val="008C2990"/>
    <w:rsid w:val="008C3858"/>
    <w:rsid w:val="008C3A6C"/>
    <w:rsid w:val="008D0269"/>
    <w:rsid w:val="008D1050"/>
    <w:rsid w:val="008D5594"/>
    <w:rsid w:val="008E0C9E"/>
    <w:rsid w:val="008E1CF1"/>
    <w:rsid w:val="008E39A6"/>
    <w:rsid w:val="008E456B"/>
    <w:rsid w:val="008E468A"/>
    <w:rsid w:val="008E4FCE"/>
    <w:rsid w:val="008E5356"/>
    <w:rsid w:val="008E589D"/>
    <w:rsid w:val="008E62FC"/>
    <w:rsid w:val="008E6EA1"/>
    <w:rsid w:val="008E71A9"/>
    <w:rsid w:val="008E7322"/>
    <w:rsid w:val="008F1C93"/>
    <w:rsid w:val="00900D7B"/>
    <w:rsid w:val="009020AC"/>
    <w:rsid w:val="00903E3F"/>
    <w:rsid w:val="009100D9"/>
    <w:rsid w:val="00911265"/>
    <w:rsid w:val="0091171F"/>
    <w:rsid w:val="0091535B"/>
    <w:rsid w:val="0091715E"/>
    <w:rsid w:val="00920A28"/>
    <w:rsid w:val="0092434E"/>
    <w:rsid w:val="00925628"/>
    <w:rsid w:val="00926C4C"/>
    <w:rsid w:val="009277D4"/>
    <w:rsid w:val="00931867"/>
    <w:rsid w:val="009319D4"/>
    <w:rsid w:val="009334A5"/>
    <w:rsid w:val="009345F7"/>
    <w:rsid w:val="009358AE"/>
    <w:rsid w:val="00936058"/>
    <w:rsid w:val="009368A6"/>
    <w:rsid w:val="00937FEE"/>
    <w:rsid w:val="00941DA4"/>
    <w:rsid w:val="00941F30"/>
    <w:rsid w:val="00943627"/>
    <w:rsid w:val="0094641C"/>
    <w:rsid w:val="009464A0"/>
    <w:rsid w:val="00947752"/>
    <w:rsid w:val="00952DFD"/>
    <w:rsid w:val="0095357E"/>
    <w:rsid w:val="0095438C"/>
    <w:rsid w:val="00956F08"/>
    <w:rsid w:val="0095739F"/>
    <w:rsid w:val="00963826"/>
    <w:rsid w:val="00964C8A"/>
    <w:rsid w:val="00966AD8"/>
    <w:rsid w:val="00972CC5"/>
    <w:rsid w:val="00973A9F"/>
    <w:rsid w:val="009741B2"/>
    <w:rsid w:val="00974B57"/>
    <w:rsid w:val="009759E2"/>
    <w:rsid w:val="00976275"/>
    <w:rsid w:val="00977149"/>
    <w:rsid w:val="009779F5"/>
    <w:rsid w:val="009803E7"/>
    <w:rsid w:val="00982B98"/>
    <w:rsid w:val="00983CEC"/>
    <w:rsid w:val="009856FF"/>
    <w:rsid w:val="00986054"/>
    <w:rsid w:val="0099187A"/>
    <w:rsid w:val="00991C05"/>
    <w:rsid w:val="00991DD6"/>
    <w:rsid w:val="009928CF"/>
    <w:rsid w:val="00993737"/>
    <w:rsid w:val="00994FBA"/>
    <w:rsid w:val="00994FDC"/>
    <w:rsid w:val="009A4A6F"/>
    <w:rsid w:val="009B16D5"/>
    <w:rsid w:val="009B6484"/>
    <w:rsid w:val="009B7532"/>
    <w:rsid w:val="009B79D9"/>
    <w:rsid w:val="009C0106"/>
    <w:rsid w:val="009C0AB7"/>
    <w:rsid w:val="009C7F56"/>
    <w:rsid w:val="009D0836"/>
    <w:rsid w:val="009D0B0B"/>
    <w:rsid w:val="009D3660"/>
    <w:rsid w:val="009E2B62"/>
    <w:rsid w:val="009E3612"/>
    <w:rsid w:val="009E4001"/>
    <w:rsid w:val="009E483D"/>
    <w:rsid w:val="009E4BC6"/>
    <w:rsid w:val="009E5951"/>
    <w:rsid w:val="009E7EE7"/>
    <w:rsid w:val="009F3BFE"/>
    <w:rsid w:val="009F3FF2"/>
    <w:rsid w:val="009F44E3"/>
    <w:rsid w:val="009F482C"/>
    <w:rsid w:val="009F4EC1"/>
    <w:rsid w:val="009F52BF"/>
    <w:rsid w:val="00A00FF2"/>
    <w:rsid w:val="00A01041"/>
    <w:rsid w:val="00A02166"/>
    <w:rsid w:val="00A107FC"/>
    <w:rsid w:val="00A10CB0"/>
    <w:rsid w:val="00A13EC6"/>
    <w:rsid w:val="00A1480A"/>
    <w:rsid w:val="00A161A1"/>
    <w:rsid w:val="00A207A3"/>
    <w:rsid w:val="00A20EEF"/>
    <w:rsid w:val="00A22733"/>
    <w:rsid w:val="00A234A9"/>
    <w:rsid w:val="00A254C3"/>
    <w:rsid w:val="00A30342"/>
    <w:rsid w:val="00A321AC"/>
    <w:rsid w:val="00A32772"/>
    <w:rsid w:val="00A33309"/>
    <w:rsid w:val="00A33526"/>
    <w:rsid w:val="00A37511"/>
    <w:rsid w:val="00A400A3"/>
    <w:rsid w:val="00A40950"/>
    <w:rsid w:val="00A41093"/>
    <w:rsid w:val="00A414E9"/>
    <w:rsid w:val="00A41CAB"/>
    <w:rsid w:val="00A425CF"/>
    <w:rsid w:val="00A4362D"/>
    <w:rsid w:val="00A436C8"/>
    <w:rsid w:val="00A452A2"/>
    <w:rsid w:val="00A45F20"/>
    <w:rsid w:val="00A47FF6"/>
    <w:rsid w:val="00A53025"/>
    <w:rsid w:val="00A54D97"/>
    <w:rsid w:val="00A54F84"/>
    <w:rsid w:val="00A56DB1"/>
    <w:rsid w:val="00A61124"/>
    <w:rsid w:val="00A623AA"/>
    <w:rsid w:val="00A63339"/>
    <w:rsid w:val="00A64319"/>
    <w:rsid w:val="00A64D60"/>
    <w:rsid w:val="00A65A57"/>
    <w:rsid w:val="00A71948"/>
    <w:rsid w:val="00A71B40"/>
    <w:rsid w:val="00A739BF"/>
    <w:rsid w:val="00A744AD"/>
    <w:rsid w:val="00A748AA"/>
    <w:rsid w:val="00A814C1"/>
    <w:rsid w:val="00A81588"/>
    <w:rsid w:val="00A84331"/>
    <w:rsid w:val="00A8548D"/>
    <w:rsid w:val="00A8557D"/>
    <w:rsid w:val="00A86BAC"/>
    <w:rsid w:val="00A8749C"/>
    <w:rsid w:val="00A87975"/>
    <w:rsid w:val="00A90239"/>
    <w:rsid w:val="00A914F4"/>
    <w:rsid w:val="00A91EB6"/>
    <w:rsid w:val="00A9256A"/>
    <w:rsid w:val="00A927A8"/>
    <w:rsid w:val="00A9362F"/>
    <w:rsid w:val="00A96356"/>
    <w:rsid w:val="00AA4F4C"/>
    <w:rsid w:val="00AA6762"/>
    <w:rsid w:val="00AA750D"/>
    <w:rsid w:val="00AB394D"/>
    <w:rsid w:val="00AB3F16"/>
    <w:rsid w:val="00AB5030"/>
    <w:rsid w:val="00AB7474"/>
    <w:rsid w:val="00AB7B31"/>
    <w:rsid w:val="00AC33E6"/>
    <w:rsid w:val="00AC7575"/>
    <w:rsid w:val="00AD0CA8"/>
    <w:rsid w:val="00AD42FD"/>
    <w:rsid w:val="00AD4623"/>
    <w:rsid w:val="00AD516B"/>
    <w:rsid w:val="00AD5CEC"/>
    <w:rsid w:val="00AD65B0"/>
    <w:rsid w:val="00AE1698"/>
    <w:rsid w:val="00AE2DB6"/>
    <w:rsid w:val="00AE2E04"/>
    <w:rsid w:val="00AE49EC"/>
    <w:rsid w:val="00AE4CE4"/>
    <w:rsid w:val="00AE6626"/>
    <w:rsid w:val="00AE7E51"/>
    <w:rsid w:val="00AF05A5"/>
    <w:rsid w:val="00AF0F0A"/>
    <w:rsid w:val="00AF2DB1"/>
    <w:rsid w:val="00AF3D14"/>
    <w:rsid w:val="00AF3E81"/>
    <w:rsid w:val="00AF4840"/>
    <w:rsid w:val="00AF70E0"/>
    <w:rsid w:val="00B021E3"/>
    <w:rsid w:val="00B03F64"/>
    <w:rsid w:val="00B10538"/>
    <w:rsid w:val="00B1550C"/>
    <w:rsid w:val="00B16CC2"/>
    <w:rsid w:val="00B17212"/>
    <w:rsid w:val="00B179C9"/>
    <w:rsid w:val="00B201A8"/>
    <w:rsid w:val="00B21E25"/>
    <w:rsid w:val="00B22450"/>
    <w:rsid w:val="00B25A91"/>
    <w:rsid w:val="00B30262"/>
    <w:rsid w:val="00B30D6E"/>
    <w:rsid w:val="00B3291B"/>
    <w:rsid w:val="00B32E21"/>
    <w:rsid w:val="00B35C4B"/>
    <w:rsid w:val="00B37C0C"/>
    <w:rsid w:val="00B40396"/>
    <w:rsid w:val="00B457BC"/>
    <w:rsid w:val="00B46A8D"/>
    <w:rsid w:val="00B50124"/>
    <w:rsid w:val="00B50C5B"/>
    <w:rsid w:val="00B5154D"/>
    <w:rsid w:val="00B54721"/>
    <w:rsid w:val="00B54A31"/>
    <w:rsid w:val="00B61CB5"/>
    <w:rsid w:val="00B63FE2"/>
    <w:rsid w:val="00B6581C"/>
    <w:rsid w:val="00B67CD2"/>
    <w:rsid w:val="00B71009"/>
    <w:rsid w:val="00B71163"/>
    <w:rsid w:val="00B712BA"/>
    <w:rsid w:val="00B7157E"/>
    <w:rsid w:val="00B71699"/>
    <w:rsid w:val="00B74B69"/>
    <w:rsid w:val="00B7524A"/>
    <w:rsid w:val="00B75C11"/>
    <w:rsid w:val="00B77D63"/>
    <w:rsid w:val="00B77ECC"/>
    <w:rsid w:val="00B81DB1"/>
    <w:rsid w:val="00B840A5"/>
    <w:rsid w:val="00B84630"/>
    <w:rsid w:val="00B84797"/>
    <w:rsid w:val="00B8771A"/>
    <w:rsid w:val="00B925CF"/>
    <w:rsid w:val="00B9286C"/>
    <w:rsid w:val="00B951B1"/>
    <w:rsid w:val="00B961CB"/>
    <w:rsid w:val="00B96B78"/>
    <w:rsid w:val="00B97155"/>
    <w:rsid w:val="00B975EC"/>
    <w:rsid w:val="00BA62DA"/>
    <w:rsid w:val="00BA6907"/>
    <w:rsid w:val="00BB01CC"/>
    <w:rsid w:val="00BC1540"/>
    <w:rsid w:val="00BC2CD4"/>
    <w:rsid w:val="00BC325B"/>
    <w:rsid w:val="00BC3316"/>
    <w:rsid w:val="00BC3335"/>
    <w:rsid w:val="00BC39CB"/>
    <w:rsid w:val="00BC3C36"/>
    <w:rsid w:val="00BC746A"/>
    <w:rsid w:val="00BC7B78"/>
    <w:rsid w:val="00BD2168"/>
    <w:rsid w:val="00BD2AFD"/>
    <w:rsid w:val="00BD3634"/>
    <w:rsid w:val="00BD6C95"/>
    <w:rsid w:val="00BE1E5B"/>
    <w:rsid w:val="00BE27D6"/>
    <w:rsid w:val="00BE3E09"/>
    <w:rsid w:val="00BE460C"/>
    <w:rsid w:val="00BE5B5D"/>
    <w:rsid w:val="00BE605D"/>
    <w:rsid w:val="00BF0ACF"/>
    <w:rsid w:val="00BF434E"/>
    <w:rsid w:val="00C00FA5"/>
    <w:rsid w:val="00C07197"/>
    <w:rsid w:val="00C114F5"/>
    <w:rsid w:val="00C13635"/>
    <w:rsid w:val="00C15526"/>
    <w:rsid w:val="00C163C9"/>
    <w:rsid w:val="00C1752F"/>
    <w:rsid w:val="00C179DE"/>
    <w:rsid w:val="00C20326"/>
    <w:rsid w:val="00C20F9E"/>
    <w:rsid w:val="00C218B2"/>
    <w:rsid w:val="00C23BA6"/>
    <w:rsid w:val="00C23D0A"/>
    <w:rsid w:val="00C26433"/>
    <w:rsid w:val="00C2777A"/>
    <w:rsid w:val="00C2779C"/>
    <w:rsid w:val="00C27AF8"/>
    <w:rsid w:val="00C30489"/>
    <w:rsid w:val="00C3071A"/>
    <w:rsid w:val="00C32741"/>
    <w:rsid w:val="00C41B85"/>
    <w:rsid w:val="00C4325D"/>
    <w:rsid w:val="00C43F51"/>
    <w:rsid w:val="00C44338"/>
    <w:rsid w:val="00C50693"/>
    <w:rsid w:val="00C52956"/>
    <w:rsid w:val="00C52D5F"/>
    <w:rsid w:val="00C56A05"/>
    <w:rsid w:val="00C572CB"/>
    <w:rsid w:val="00C6002D"/>
    <w:rsid w:val="00C60A36"/>
    <w:rsid w:val="00C637B4"/>
    <w:rsid w:val="00C67F60"/>
    <w:rsid w:val="00C74243"/>
    <w:rsid w:val="00C7764F"/>
    <w:rsid w:val="00C77F5B"/>
    <w:rsid w:val="00C808C3"/>
    <w:rsid w:val="00C809A5"/>
    <w:rsid w:val="00C826B4"/>
    <w:rsid w:val="00C82FD7"/>
    <w:rsid w:val="00C83BE5"/>
    <w:rsid w:val="00C8405C"/>
    <w:rsid w:val="00C916E2"/>
    <w:rsid w:val="00C93154"/>
    <w:rsid w:val="00C939A6"/>
    <w:rsid w:val="00C94062"/>
    <w:rsid w:val="00C94DCF"/>
    <w:rsid w:val="00C97E63"/>
    <w:rsid w:val="00CA0689"/>
    <w:rsid w:val="00CA0C79"/>
    <w:rsid w:val="00CA1C63"/>
    <w:rsid w:val="00CA2796"/>
    <w:rsid w:val="00CA2A75"/>
    <w:rsid w:val="00CA3EA6"/>
    <w:rsid w:val="00CA578E"/>
    <w:rsid w:val="00CB1C6B"/>
    <w:rsid w:val="00CB40D6"/>
    <w:rsid w:val="00CB4836"/>
    <w:rsid w:val="00CB4CFB"/>
    <w:rsid w:val="00CB5474"/>
    <w:rsid w:val="00CB6D39"/>
    <w:rsid w:val="00CB76C3"/>
    <w:rsid w:val="00CB7706"/>
    <w:rsid w:val="00CC13ED"/>
    <w:rsid w:val="00CC2188"/>
    <w:rsid w:val="00CC2C93"/>
    <w:rsid w:val="00CC73B0"/>
    <w:rsid w:val="00CD3B9D"/>
    <w:rsid w:val="00CD50FC"/>
    <w:rsid w:val="00CD5CBB"/>
    <w:rsid w:val="00CD6671"/>
    <w:rsid w:val="00CD74E9"/>
    <w:rsid w:val="00CE1058"/>
    <w:rsid w:val="00CE119C"/>
    <w:rsid w:val="00CE2331"/>
    <w:rsid w:val="00CE4E52"/>
    <w:rsid w:val="00CF098E"/>
    <w:rsid w:val="00CF1C1E"/>
    <w:rsid w:val="00CF509C"/>
    <w:rsid w:val="00CF52FB"/>
    <w:rsid w:val="00CF59FF"/>
    <w:rsid w:val="00CF6E5E"/>
    <w:rsid w:val="00CF776E"/>
    <w:rsid w:val="00D02E56"/>
    <w:rsid w:val="00D0478D"/>
    <w:rsid w:val="00D04C46"/>
    <w:rsid w:val="00D0673D"/>
    <w:rsid w:val="00D10423"/>
    <w:rsid w:val="00D10F07"/>
    <w:rsid w:val="00D11F86"/>
    <w:rsid w:val="00D146FD"/>
    <w:rsid w:val="00D14BF7"/>
    <w:rsid w:val="00D17895"/>
    <w:rsid w:val="00D17A21"/>
    <w:rsid w:val="00D17CAB"/>
    <w:rsid w:val="00D230EC"/>
    <w:rsid w:val="00D23165"/>
    <w:rsid w:val="00D2350C"/>
    <w:rsid w:val="00D245F7"/>
    <w:rsid w:val="00D27621"/>
    <w:rsid w:val="00D307E5"/>
    <w:rsid w:val="00D34246"/>
    <w:rsid w:val="00D4371B"/>
    <w:rsid w:val="00D447F5"/>
    <w:rsid w:val="00D44D1B"/>
    <w:rsid w:val="00D450E5"/>
    <w:rsid w:val="00D46548"/>
    <w:rsid w:val="00D465DA"/>
    <w:rsid w:val="00D46DBA"/>
    <w:rsid w:val="00D5046F"/>
    <w:rsid w:val="00D50E31"/>
    <w:rsid w:val="00D512FA"/>
    <w:rsid w:val="00D525E0"/>
    <w:rsid w:val="00D541E2"/>
    <w:rsid w:val="00D550C5"/>
    <w:rsid w:val="00D5711E"/>
    <w:rsid w:val="00D60BC6"/>
    <w:rsid w:val="00D61D20"/>
    <w:rsid w:val="00D61E92"/>
    <w:rsid w:val="00D6281F"/>
    <w:rsid w:val="00D63463"/>
    <w:rsid w:val="00D647C7"/>
    <w:rsid w:val="00D650C3"/>
    <w:rsid w:val="00D666AC"/>
    <w:rsid w:val="00D67936"/>
    <w:rsid w:val="00D73614"/>
    <w:rsid w:val="00D73DBE"/>
    <w:rsid w:val="00D7536A"/>
    <w:rsid w:val="00D76BCF"/>
    <w:rsid w:val="00D83026"/>
    <w:rsid w:val="00D851B5"/>
    <w:rsid w:val="00D856AD"/>
    <w:rsid w:val="00D864B7"/>
    <w:rsid w:val="00D8799A"/>
    <w:rsid w:val="00D909C7"/>
    <w:rsid w:val="00DA0B5B"/>
    <w:rsid w:val="00DA0C34"/>
    <w:rsid w:val="00DA203E"/>
    <w:rsid w:val="00DA36F1"/>
    <w:rsid w:val="00DB04C0"/>
    <w:rsid w:val="00DB0BE6"/>
    <w:rsid w:val="00DB5910"/>
    <w:rsid w:val="00DB6675"/>
    <w:rsid w:val="00DC22EC"/>
    <w:rsid w:val="00DC26A7"/>
    <w:rsid w:val="00DC5798"/>
    <w:rsid w:val="00DC62B8"/>
    <w:rsid w:val="00DC73AF"/>
    <w:rsid w:val="00DD0818"/>
    <w:rsid w:val="00DD4DF5"/>
    <w:rsid w:val="00DD5011"/>
    <w:rsid w:val="00DD7063"/>
    <w:rsid w:val="00DD75BC"/>
    <w:rsid w:val="00DD77CA"/>
    <w:rsid w:val="00DE1AFD"/>
    <w:rsid w:val="00DE2BC0"/>
    <w:rsid w:val="00DE35A4"/>
    <w:rsid w:val="00DE4892"/>
    <w:rsid w:val="00DE744C"/>
    <w:rsid w:val="00DE747A"/>
    <w:rsid w:val="00DE7D75"/>
    <w:rsid w:val="00DF005C"/>
    <w:rsid w:val="00DF3B6E"/>
    <w:rsid w:val="00DF64F7"/>
    <w:rsid w:val="00E016B9"/>
    <w:rsid w:val="00E01AE2"/>
    <w:rsid w:val="00E03437"/>
    <w:rsid w:val="00E054DC"/>
    <w:rsid w:val="00E05D11"/>
    <w:rsid w:val="00E07685"/>
    <w:rsid w:val="00E07C86"/>
    <w:rsid w:val="00E137C2"/>
    <w:rsid w:val="00E20DED"/>
    <w:rsid w:val="00E21373"/>
    <w:rsid w:val="00E22272"/>
    <w:rsid w:val="00E31E1C"/>
    <w:rsid w:val="00E345C5"/>
    <w:rsid w:val="00E35331"/>
    <w:rsid w:val="00E356FF"/>
    <w:rsid w:val="00E35852"/>
    <w:rsid w:val="00E36308"/>
    <w:rsid w:val="00E367C8"/>
    <w:rsid w:val="00E40FF4"/>
    <w:rsid w:val="00E42A32"/>
    <w:rsid w:val="00E42AA2"/>
    <w:rsid w:val="00E43372"/>
    <w:rsid w:val="00E467C9"/>
    <w:rsid w:val="00E5089C"/>
    <w:rsid w:val="00E51A4B"/>
    <w:rsid w:val="00E53E43"/>
    <w:rsid w:val="00E546C7"/>
    <w:rsid w:val="00E608B3"/>
    <w:rsid w:val="00E61339"/>
    <w:rsid w:val="00E62A2C"/>
    <w:rsid w:val="00E63AD8"/>
    <w:rsid w:val="00E64BBF"/>
    <w:rsid w:val="00E6606F"/>
    <w:rsid w:val="00E66476"/>
    <w:rsid w:val="00E670D8"/>
    <w:rsid w:val="00E677B3"/>
    <w:rsid w:val="00E67AE6"/>
    <w:rsid w:val="00E70FD4"/>
    <w:rsid w:val="00E73791"/>
    <w:rsid w:val="00E75546"/>
    <w:rsid w:val="00E80D15"/>
    <w:rsid w:val="00E842A4"/>
    <w:rsid w:val="00E8440C"/>
    <w:rsid w:val="00E84BD9"/>
    <w:rsid w:val="00E85754"/>
    <w:rsid w:val="00E8797C"/>
    <w:rsid w:val="00E87B1F"/>
    <w:rsid w:val="00E87D47"/>
    <w:rsid w:val="00E91690"/>
    <w:rsid w:val="00E91FB9"/>
    <w:rsid w:val="00E93AD3"/>
    <w:rsid w:val="00E95A62"/>
    <w:rsid w:val="00E964A4"/>
    <w:rsid w:val="00EA4FD5"/>
    <w:rsid w:val="00EA5E02"/>
    <w:rsid w:val="00EA798D"/>
    <w:rsid w:val="00EB205F"/>
    <w:rsid w:val="00EB6FFB"/>
    <w:rsid w:val="00EB7834"/>
    <w:rsid w:val="00EC05A3"/>
    <w:rsid w:val="00EC1441"/>
    <w:rsid w:val="00EC2B75"/>
    <w:rsid w:val="00EC34A9"/>
    <w:rsid w:val="00EC3DAD"/>
    <w:rsid w:val="00EC4555"/>
    <w:rsid w:val="00EC65A1"/>
    <w:rsid w:val="00EC6857"/>
    <w:rsid w:val="00ED0D24"/>
    <w:rsid w:val="00ED1843"/>
    <w:rsid w:val="00ED2AC0"/>
    <w:rsid w:val="00ED2C29"/>
    <w:rsid w:val="00ED2C50"/>
    <w:rsid w:val="00EE23B2"/>
    <w:rsid w:val="00EE5B26"/>
    <w:rsid w:val="00EF1765"/>
    <w:rsid w:val="00EF2742"/>
    <w:rsid w:val="00EF2B4C"/>
    <w:rsid w:val="00EF3699"/>
    <w:rsid w:val="00EF47A4"/>
    <w:rsid w:val="00EF4DA0"/>
    <w:rsid w:val="00EF5939"/>
    <w:rsid w:val="00EF628A"/>
    <w:rsid w:val="00EF732D"/>
    <w:rsid w:val="00EF78D7"/>
    <w:rsid w:val="00F00544"/>
    <w:rsid w:val="00F06124"/>
    <w:rsid w:val="00F104AB"/>
    <w:rsid w:val="00F10AA7"/>
    <w:rsid w:val="00F16C56"/>
    <w:rsid w:val="00F17095"/>
    <w:rsid w:val="00F1743F"/>
    <w:rsid w:val="00F178F0"/>
    <w:rsid w:val="00F2088A"/>
    <w:rsid w:val="00F24E70"/>
    <w:rsid w:val="00F27A44"/>
    <w:rsid w:val="00F314EA"/>
    <w:rsid w:val="00F3246C"/>
    <w:rsid w:val="00F33458"/>
    <w:rsid w:val="00F35204"/>
    <w:rsid w:val="00F37701"/>
    <w:rsid w:val="00F40C3F"/>
    <w:rsid w:val="00F410A2"/>
    <w:rsid w:val="00F422C1"/>
    <w:rsid w:val="00F47315"/>
    <w:rsid w:val="00F5000E"/>
    <w:rsid w:val="00F50315"/>
    <w:rsid w:val="00F563AB"/>
    <w:rsid w:val="00F56952"/>
    <w:rsid w:val="00F62B86"/>
    <w:rsid w:val="00F62F18"/>
    <w:rsid w:val="00F64048"/>
    <w:rsid w:val="00F6615E"/>
    <w:rsid w:val="00F679CF"/>
    <w:rsid w:val="00F71054"/>
    <w:rsid w:val="00F7127F"/>
    <w:rsid w:val="00F7228E"/>
    <w:rsid w:val="00F84819"/>
    <w:rsid w:val="00F8691A"/>
    <w:rsid w:val="00F87DE7"/>
    <w:rsid w:val="00F90A3A"/>
    <w:rsid w:val="00F93137"/>
    <w:rsid w:val="00F942CD"/>
    <w:rsid w:val="00F94538"/>
    <w:rsid w:val="00F9719E"/>
    <w:rsid w:val="00FA08EA"/>
    <w:rsid w:val="00FA23A2"/>
    <w:rsid w:val="00FA2A85"/>
    <w:rsid w:val="00FA3672"/>
    <w:rsid w:val="00FA4D89"/>
    <w:rsid w:val="00FA67FD"/>
    <w:rsid w:val="00FB1492"/>
    <w:rsid w:val="00FB63E0"/>
    <w:rsid w:val="00FB6E5F"/>
    <w:rsid w:val="00FB6EF9"/>
    <w:rsid w:val="00FC0BD7"/>
    <w:rsid w:val="00FC18B1"/>
    <w:rsid w:val="00FC3667"/>
    <w:rsid w:val="00FC58B3"/>
    <w:rsid w:val="00FC5E71"/>
    <w:rsid w:val="00FD5624"/>
    <w:rsid w:val="00FE0124"/>
    <w:rsid w:val="00FE325F"/>
    <w:rsid w:val="00FE38DE"/>
    <w:rsid w:val="00FE41AB"/>
    <w:rsid w:val="00FE4E6A"/>
    <w:rsid w:val="00FE5454"/>
    <w:rsid w:val="00FE5ADA"/>
    <w:rsid w:val="00FF29DF"/>
    <w:rsid w:val="00FF3CAD"/>
    <w:rsid w:val="00FF4FC8"/>
    <w:rsid w:val="00FF79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59B4B"/>
  <w15:chartTrackingRefBased/>
  <w15:docId w15:val="{B0FC6FC5-AA20-42B8-A58C-C91F595A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E7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E7E51"/>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AE7E51"/>
    <w:rPr>
      <w:b/>
      <w:bCs/>
    </w:rPr>
  </w:style>
  <w:style w:type="paragraph" w:styleId="Prrafodelista">
    <w:name w:val="List Paragraph"/>
    <w:basedOn w:val="Normal"/>
    <w:uiPriority w:val="34"/>
    <w:qFormat/>
    <w:rsid w:val="00AE7E51"/>
    <w:pPr>
      <w:ind w:left="720"/>
      <w:contextualSpacing/>
    </w:pPr>
  </w:style>
  <w:style w:type="paragraph" w:styleId="Textodeglobo">
    <w:name w:val="Balloon Text"/>
    <w:basedOn w:val="Normal"/>
    <w:link w:val="TextodegloboCar"/>
    <w:uiPriority w:val="99"/>
    <w:semiHidden/>
    <w:unhideWhenUsed/>
    <w:rsid w:val="00AE7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E51"/>
    <w:rPr>
      <w:rFonts w:ascii="Segoe UI" w:hAnsi="Segoe UI" w:cs="Segoe UI"/>
      <w:sz w:val="18"/>
      <w:szCs w:val="18"/>
    </w:rPr>
  </w:style>
  <w:style w:type="paragraph" w:styleId="Bibliografa">
    <w:name w:val="Bibliography"/>
    <w:basedOn w:val="Normal"/>
    <w:next w:val="Normal"/>
    <w:uiPriority w:val="37"/>
    <w:unhideWhenUsed/>
    <w:rsid w:val="00B54A31"/>
    <w:pPr>
      <w:tabs>
        <w:tab w:val="left" w:pos="504"/>
      </w:tabs>
      <w:spacing w:after="240" w:line="240" w:lineRule="auto"/>
      <w:ind w:left="504" w:hanging="504"/>
    </w:pPr>
  </w:style>
  <w:style w:type="character" w:styleId="Refdecomentario">
    <w:name w:val="annotation reference"/>
    <w:basedOn w:val="Fuentedeprrafopredeter"/>
    <w:uiPriority w:val="99"/>
    <w:semiHidden/>
    <w:unhideWhenUsed/>
    <w:rsid w:val="00DE4892"/>
    <w:rPr>
      <w:sz w:val="16"/>
      <w:szCs w:val="16"/>
    </w:rPr>
  </w:style>
  <w:style w:type="paragraph" w:styleId="Textocomentario">
    <w:name w:val="annotation text"/>
    <w:basedOn w:val="Normal"/>
    <w:link w:val="TextocomentarioCar"/>
    <w:uiPriority w:val="99"/>
    <w:unhideWhenUsed/>
    <w:rsid w:val="00DE4892"/>
    <w:pPr>
      <w:spacing w:line="240" w:lineRule="auto"/>
    </w:pPr>
    <w:rPr>
      <w:sz w:val="20"/>
      <w:szCs w:val="20"/>
    </w:rPr>
  </w:style>
  <w:style w:type="character" w:customStyle="1" w:styleId="TextocomentarioCar">
    <w:name w:val="Texto comentario Car"/>
    <w:basedOn w:val="Fuentedeprrafopredeter"/>
    <w:link w:val="Textocomentario"/>
    <w:uiPriority w:val="99"/>
    <w:rsid w:val="00DE4892"/>
    <w:rPr>
      <w:sz w:val="20"/>
      <w:szCs w:val="20"/>
    </w:rPr>
  </w:style>
  <w:style w:type="paragraph" w:styleId="Asuntodelcomentario">
    <w:name w:val="annotation subject"/>
    <w:basedOn w:val="Textocomentario"/>
    <w:next w:val="Textocomentario"/>
    <w:link w:val="AsuntodelcomentarioCar"/>
    <w:uiPriority w:val="99"/>
    <w:semiHidden/>
    <w:unhideWhenUsed/>
    <w:rsid w:val="00DE4892"/>
    <w:rPr>
      <w:b/>
      <w:bCs/>
    </w:rPr>
  </w:style>
  <w:style w:type="character" w:customStyle="1" w:styleId="AsuntodelcomentarioCar">
    <w:name w:val="Asunto del comentario Car"/>
    <w:basedOn w:val="TextocomentarioCar"/>
    <w:link w:val="Asuntodelcomentario"/>
    <w:uiPriority w:val="99"/>
    <w:semiHidden/>
    <w:rsid w:val="00DE4892"/>
    <w:rPr>
      <w:b/>
      <w:bCs/>
      <w:sz w:val="20"/>
      <w:szCs w:val="20"/>
    </w:rPr>
  </w:style>
  <w:style w:type="paragraph" w:styleId="Textoindependiente">
    <w:name w:val="Body Text"/>
    <w:basedOn w:val="Normal"/>
    <w:link w:val="TextoindependienteCar"/>
    <w:uiPriority w:val="99"/>
    <w:semiHidden/>
    <w:unhideWhenUsed/>
    <w:rsid w:val="00772D35"/>
    <w:pPr>
      <w:spacing w:after="120"/>
    </w:pPr>
  </w:style>
  <w:style w:type="character" w:customStyle="1" w:styleId="TextoindependienteCar">
    <w:name w:val="Texto independiente Car"/>
    <w:basedOn w:val="Fuentedeprrafopredeter"/>
    <w:link w:val="Textoindependiente"/>
    <w:uiPriority w:val="99"/>
    <w:semiHidden/>
    <w:rsid w:val="00772D35"/>
  </w:style>
  <w:style w:type="paragraph" w:styleId="Encabezado">
    <w:name w:val="header"/>
    <w:basedOn w:val="Normal"/>
    <w:link w:val="EncabezadoCar"/>
    <w:uiPriority w:val="99"/>
    <w:unhideWhenUsed/>
    <w:rsid w:val="00BC3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316"/>
  </w:style>
  <w:style w:type="paragraph" w:styleId="Piedepgina">
    <w:name w:val="footer"/>
    <w:basedOn w:val="Normal"/>
    <w:link w:val="PiedepginaCar"/>
    <w:uiPriority w:val="99"/>
    <w:unhideWhenUsed/>
    <w:rsid w:val="00BC33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316"/>
  </w:style>
  <w:style w:type="character" w:customStyle="1" w:styleId="tlid-translation">
    <w:name w:val="tlid-translation"/>
    <w:basedOn w:val="Fuentedeprrafopredeter"/>
    <w:rsid w:val="000773EC"/>
  </w:style>
  <w:style w:type="paragraph" w:styleId="Revisin">
    <w:name w:val="Revision"/>
    <w:hidden/>
    <w:uiPriority w:val="99"/>
    <w:semiHidden/>
    <w:rsid w:val="00103447"/>
    <w:pPr>
      <w:spacing w:after="0" w:line="240" w:lineRule="auto"/>
    </w:pPr>
  </w:style>
  <w:style w:type="character" w:styleId="Hipervnculo">
    <w:name w:val="Hyperlink"/>
    <w:basedOn w:val="Fuentedeprrafopredeter"/>
    <w:uiPriority w:val="99"/>
    <w:unhideWhenUsed/>
    <w:rsid w:val="002E6B86"/>
    <w:rPr>
      <w:color w:val="0563C1" w:themeColor="hyperlink"/>
      <w:u w:val="single"/>
    </w:rPr>
  </w:style>
  <w:style w:type="character" w:styleId="Mencinsinresolver">
    <w:name w:val="Unresolved Mention"/>
    <w:basedOn w:val="Fuentedeprrafopredeter"/>
    <w:uiPriority w:val="99"/>
    <w:semiHidden/>
    <w:unhideWhenUsed/>
    <w:rsid w:val="002E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8344">
      <w:bodyDiv w:val="1"/>
      <w:marLeft w:val="0"/>
      <w:marRight w:val="0"/>
      <w:marTop w:val="0"/>
      <w:marBottom w:val="0"/>
      <w:divBdr>
        <w:top w:val="none" w:sz="0" w:space="0" w:color="auto"/>
        <w:left w:val="none" w:sz="0" w:space="0" w:color="auto"/>
        <w:bottom w:val="none" w:sz="0" w:space="0" w:color="auto"/>
        <w:right w:val="none" w:sz="0" w:space="0" w:color="auto"/>
      </w:divBdr>
    </w:div>
    <w:div w:id="391193343">
      <w:bodyDiv w:val="1"/>
      <w:marLeft w:val="0"/>
      <w:marRight w:val="0"/>
      <w:marTop w:val="0"/>
      <w:marBottom w:val="0"/>
      <w:divBdr>
        <w:top w:val="none" w:sz="0" w:space="0" w:color="auto"/>
        <w:left w:val="none" w:sz="0" w:space="0" w:color="auto"/>
        <w:bottom w:val="none" w:sz="0" w:space="0" w:color="auto"/>
        <w:right w:val="none" w:sz="0" w:space="0" w:color="auto"/>
      </w:divBdr>
    </w:div>
    <w:div w:id="495071875">
      <w:bodyDiv w:val="1"/>
      <w:marLeft w:val="0"/>
      <w:marRight w:val="0"/>
      <w:marTop w:val="0"/>
      <w:marBottom w:val="0"/>
      <w:divBdr>
        <w:top w:val="none" w:sz="0" w:space="0" w:color="auto"/>
        <w:left w:val="none" w:sz="0" w:space="0" w:color="auto"/>
        <w:bottom w:val="none" w:sz="0" w:space="0" w:color="auto"/>
        <w:right w:val="none" w:sz="0" w:space="0" w:color="auto"/>
      </w:divBdr>
    </w:div>
    <w:div w:id="568229554">
      <w:bodyDiv w:val="1"/>
      <w:marLeft w:val="0"/>
      <w:marRight w:val="0"/>
      <w:marTop w:val="0"/>
      <w:marBottom w:val="0"/>
      <w:divBdr>
        <w:top w:val="none" w:sz="0" w:space="0" w:color="auto"/>
        <w:left w:val="none" w:sz="0" w:space="0" w:color="auto"/>
        <w:bottom w:val="none" w:sz="0" w:space="0" w:color="auto"/>
        <w:right w:val="none" w:sz="0" w:space="0" w:color="auto"/>
      </w:divBdr>
    </w:div>
    <w:div w:id="688457700">
      <w:bodyDiv w:val="1"/>
      <w:marLeft w:val="0"/>
      <w:marRight w:val="0"/>
      <w:marTop w:val="0"/>
      <w:marBottom w:val="0"/>
      <w:divBdr>
        <w:top w:val="none" w:sz="0" w:space="0" w:color="auto"/>
        <w:left w:val="none" w:sz="0" w:space="0" w:color="auto"/>
        <w:bottom w:val="none" w:sz="0" w:space="0" w:color="auto"/>
        <w:right w:val="none" w:sz="0" w:space="0" w:color="auto"/>
      </w:divBdr>
    </w:div>
    <w:div w:id="804084523">
      <w:bodyDiv w:val="1"/>
      <w:marLeft w:val="0"/>
      <w:marRight w:val="0"/>
      <w:marTop w:val="0"/>
      <w:marBottom w:val="0"/>
      <w:divBdr>
        <w:top w:val="none" w:sz="0" w:space="0" w:color="auto"/>
        <w:left w:val="none" w:sz="0" w:space="0" w:color="auto"/>
        <w:bottom w:val="none" w:sz="0" w:space="0" w:color="auto"/>
        <w:right w:val="none" w:sz="0" w:space="0" w:color="auto"/>
      </w:divBdr>
    </w:div>
    <w:div w:id="1123496420">
      <w:bodyDiv w:val="1"/>
      <w:marLeft w:val="0"/>
      <w:marRight w:val="0"/>
      <w:marTop w:val="0"/>
      <w:marBottom w:val="0"/>
      <w:divBdr>
        <w:top w:val="none" w:sz="0" w:space="0" w:color="auto"/>
        <w:left w:val="none" w:sz="0" w:space="0" w:color="auto"/>
        <w:bottom w:val="none" w:sz="0" w:space="0" w:color="auto"/>
        <w:right w:val="none" w:sz="0" w:space="0" w:color="auto"/>
      </w:divBdr>
    </w:div>
    <w:div w:id="1134522259">
      <w:bodyDiv w:val="1"/>
      <w:marLeft w:val="0"/>
      <w:marRight w:val="0"/>
      <w:marTop w:val="0"/>
      <w:marBottom w:val="0"/>
      <w:divBdr>
        <w:top w:val="none" w:sz="0" w:space="0" w:color="auto"/>
        <w:left w:val="none" w:sz="0" w:space="0" w:color="auto"/>
        <w:bottom w:val="none" w:sz="0" w:space="0" w:color="auto"/>
        <w:right w:val="none" w:sz="0" w:space="0" w:color="auto"/>
      </w:divBdr>
    </w:div>
    <w:div w:id="1739980896">
      <w:bodyDiv w:val="1"/>
      <w:marLeft w:val="0"/>
      <w:marRight w:val="0"/>
      <w:marTop w:val="0"/>
      <w:marBottom w:val="0"/>
      <w:divBdr>
        <w:top w:val="none" w:sz="0" w:space="0" w:color="auto"/>
        <w:left w:val="none" w:sz="0" w:space="0" w:color="auto"/>
        <w:bottom w:val="none" w:sz="0" w:space="0" w:color="auto"/>
        <w:right w:val="none" w:sz="0" w:space="0" w:color="auto"/>
      </w:divBdr>
    </w:div>
    <w:div w:id="1741756522">
      <w:bodyDiv w:val="1"/>
      <w:marLeft w:val="0"/>
      <w:marRight w:val="0"/>
      <w:marTop w:val="0"/>
      <w:marBottom w:val="0"/>
      <w:divBdr>
        <w:top w:val="none" w:sz="0" w:space="0" w:color="auto"/>
        <w:left w:val="none" w:sz="0" w:space="0" w:color="auto"/>
        <w:bottom w:val="none" w:sz="0" w:space="0" w:color="auto"/>
        <w:right w:val="none" w:sz="0" w:space="0" w:color="auto"/>
      </w:divBdr>
    </w:div>
    <w:div w:id="2078894569">
      <w:bodyDiv w:val="1"/>
      <w:marLeft w:val="0"/>
      <w:marRight w:val="0"/>
      <w:marTop w:val="0"/>
      <w:marBottom w:val="0"/>
      <w:divBdr>
        <w:top w:val="none" w:sz="0" w:space="0" w:color="auto"/>
        <w:left w:val="none" w:sz="0" w:space="0" w:color="auto"/>
        <w:bottom w:val="none" w:sz="0" w:space="0" w:color="auto"/>
        <w:right w:val="none" w:sz="0" w:space="0" w:color="auto"/>
      </w:divBdr>
    </w:div>
    <w:div w:id="20826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cmd=HistorySearch&amp;querykey=2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DA3AD25B76B4E43B87843C9EA78C6DC" ma:contentTypeVersion="13" ma:contentTypeDescription="Ein neues Dokument erstellen." ma:contentTypeScope="" ma:versionID="acbd9882eeba68ae9d60d27b084890f7">
  <xsd:schema xmlns:xsd="http://www.w3.org/2001/XMLSchema" xmlns:xs="http://www.w3.org/2001/XMLSchema" xmlns:p="http://schemas.microsoft.com/office/2006/metadata/properties" xmlns:ns3="7f222b6f-3c9f-416c-8a6d-e5882dbf8f97" xmlns:ns4="02455d5f-e4b1-46de-823f-b5cb59c28ea8" targetNamespace="http://schemas.microsoft.com/office/2006/metadata/properties" ma:root="true" ma:fieldsID="519dd4fe8b0e7d25904fb81e6d0ad182" ns3:_="" ns4:_="">
    <xsd:import namespace="7f222b6f-3c9f-416c-8a6d-e5882dbf8f97"/>
    <xsd:import namespace="02455d5f-e4b1-46de-823f-b5cb59c28e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22b6f-3c9f-416c-8a6d-e5882dbf8f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455d5f-e4b1-46de-823f-b5cb59c28ea8"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E23A6-45E8-4E76-82BD-4AD199768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2A84D-3C33-4D44-B3B0-C44DCF792860}">
  <ds:schemaRefs>
    <ds:schemaRef ds:uri="http://schemas.microsoft.com/sharepoint/v3/contenttype/forms"/>
  </ds:schemaRefs>
</ds:datastoreItem>
</file>

<file path=customXml/itemProps3.xml><?xml version="1.0" encoding="utf-8"?>
<ds:datastoreItem xmlns:ds="http://schemas.openxmlformats.org/officeDocument/2006/customXml" ds:itemID="{B4D1FBB6-6181-47E6-82A9-908C5A6F5896}">
  <ds:schemaRefs>
    <ds:schemaRef ds:uri="http://schemas.openxmlformats.org/officeDocument/2006/bibliography"/>
  </ds:schemaRefs>
</ds:datastoreItem>
</file>

<file path=customXml/itemProps4.xml><?xml version="1.0" encoding="utf-8"?>
<ds:datastoreItem xmlns:ds="http://schemas.openxmlformats.org/officeDocument/2006/customXml" ds:itemID="{CFEB816B-3DF9-4847-898F-7675E93C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22b6f-3c9f-416c-8a6d-e5882dbf8f97"/>
    <ds:schemaRef ds:uri="02455d5f-e4b1-46de-823f-b5cb59c28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124975</Words>
  <Characters>687368</Characters>
  <Application>Microsoft Office Word</Application>
  <DocSecurity>4</DocSecurity>
  <Lines>5728</Lines>
  <Paragraphs>1621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dc:creator>
  <cp:keywords/>
  <dc:description/>
  <cp:lastModifiedBy>Rubio Broniowski, Sara</cp:lastModifiedBy>
  <cp:revision>2</cp:revision>
  <dcterms:created xsi:type="dcterms:W3CDTF">2021-09-06T09:26:00Z</dcterms:created>
  <dcterms:modified xsi:type="dcterms:W3CDTF">2021-09-06T09:26:00Z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id="OVCd2D8f"/&gt;&lt;style id="http://www.zotero.org/styles/vancouver" locale="en-GB"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MSIP_Label_1f22b0d6-cb08-48e4-b81e-c118f64f4880_Enabled">
    <vt:lpwstr>True</vt:lpwstr>
  </property>
  <property fmtid="{D5CDD505-2E9C-101B-9397-08002B2CF9AE}" pid="5" name="MSIP_Label_1f22b0d6-cb08-48e4-b81e-c118f64f4880_SiteId">
    <vt:lpwstr>1aa3f197-39d5-4269-bcea-93372aa086d9</vt:lpwstr>
  </property>
  <property fmtid="{D5CDD505-2E9C-101B-9397-08002B2CF9AE}" pid="6" name="MSIP_Label_1f22b0d6-cb08-48e4-b81e-c118f64f4880_Owner">
    <vt:lpwstr>Carlos.Garcia@grunenthal.com</vt:lpwstr>
  </property>
  <property fmtid="{D5CDD505-2E9C-101B-9397-08002B2CF9AE}" pid="7" name="MSIP_Label_1f22b0d6-cb08-48e4-b81e-c118f64f4880_SetDate">
    <vt:lpwstr>2019-10-15T11:09:39.7670045Z</vt:lpwstr>
  </property>
  <property fmtid="{D5CDD505-2E9C-101B-9397-08002B2CF9AE}" pid="8" name="MSIP_Label_1f22b0d6-cb08-48e4-b81e-c118f64f4880_Name">
    <vt:lpwstr>Business Use</vt:lpwstr>
  </property>
  <property fmtid="{D5CDD505-2E9C-101B-9397-08002B2CF9AE}" pid="9" name="MSIP_Label_1f22b0d6-cb08-48e4-b81e-c118f64f4880_Application">
    <vt:lpwstr>Microsoft Azure Information Protection</vt:lpwstr>
  </property>
  <property fmtid="{D5CDD505-2E9C-101B-9397-08002B2CF9AE}" pid="10" name="MSIP_Label_1f22b0d6-cb08-48e4-b81e-c118f64f4880_ActionId">
    <vt:lpwstr>5c42700f-d71c-4e91-a25c-db3e3b695d55</vt:lpwstr>
  </property>
  <property fmtid="{D5CDD505-2E9C-101B-9397-08002B2CF9AE}" pid="11" name="MSIP_Label_1f22b0d6-cb08-48e4-b81e-c118f64f4880_Extended_MSFT_Method">
    <vt:lpwstr>Automatic</vt:lpwstr>
  </property>
  <property fmtid="{D5CDD505-2E9C-101B-9397-08002B2CF9AE}" pid="12" name="Sensitivity">
    <vt:lpwstr>Business Use</vt:lpwstr>
  </property>
  <property fmtid="{D5CDD505-2E9C-101B-9397-08002B2CF9AE}" pid="13" name="ContentTypeId">
    <vt:lpwstr>0x010100EDA3AD25B76B4E43B87843C9EA78C6DC</vt:lpwstr>
  </property>
</Properties>
</file>